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6"/>
      <w:r>
        <w:rPr>
          <w:b w:val="0"/>
          <w:color w:val="000000"/>
          <w:sz w:val="44"/>
        </w:rPr>
        <w:t>宁晋县人民检察院收支预算</w:t>
      </w:r>
      <w:bookmarkEnd w:id="0"/>
    </w:p>
    <w:p>
      <w:pPr>
        <w:spacing w:before="0" w:after="0" w:line="240" w:lineRule="auto"/>
        <w:ind w:firstLine="0"/>
        <w:jc w:val="center"/>
        <w:outlineLvl w:val="4"/>
      </w:pPr>
      <w:r>
        <w:rPr>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249017宁晋县人民检察院</w:t>
            </w:r>
          </w:p>
        </w:tc>
        <w:tc>
          <w:tcPr>
            <w:tcW w:w="8877"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9"/>
            </w:pPr>
            <w:r>
              <w:t>一、一般公共预算拨款收入</w:t>
            </w:r>
          </w:p>
        </w:tc>
        <w:tc>
          <w:tcPr>
            <w:tcW w:w="2959" w:type="dxa"/>
            <w:vAlign w:val="center"/>
          </w:tcPr>
          <w:p>
            <w:pPr>
              <w:pStyle w:val="8"/>
            </w:pPr>
            <w:r>
              <w:t>1567.00</w:t>
            </w:r>
          </w:p>
        </w:tc>
        <w:tc>
          <w:tcPr>
            <w:tcW w:w="2959" w:type="dxa"/>
            <w:vAlign w:val="center"/>
          </w:tcPr>
          <w:p>
            <w:pPr>
              <w:pStyle w:val="9"/>
            </w:pPr>
            <w:r>
              <w:t>一、一般公共服务支出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9"/>
            </w:pPr>
            <w:r>
              <w:t>二、政府性基金预算拨款收入</w:t>
            </w:r>
          </w:p>
        </w:tc>
        <w:tc>
          <w:tcPr>
            <w:tcW w:w="2959" w:type="dxa"/>
            <w:vAlign w:val="center"/>
          </w:tcPr>
          <w:p>
            <w:pPr>
              <w:pStyle w:val="8"/>
            </w:pPr>
          </w:p>
        </w:tc>
        <w:tc>
          <w:tcPr>
            <w:tcW w:w="2959" w:type="dxa"/>
            <w:vAlign w:val="center"/>
          </w:tcPr>
          <w:p>
            <w:pPr>
              <w:pStyle w:val="9"/>
            </w:pPr>
            <w:r>
              <w:t>二、外交支出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9"/>
            </w:pPr>
            <w:r>
              <w:t>三、国有资本经营预算拨款收入</w:t>
            </w:r>
          </w:p>
        </w:tc>
        <w:tc>
          <w:tcPr>
            <w:tcW w:w="2959" w:type="dxa"/>
            <w:vAlign w:val="center"/>
          </w:tcPr>
          <w:p>
            <w:pPr>
              <w:pStyle w:val="8"/>
            </w:pPr>
          </w:p>
        </w:tc>
        <w:tc>
          <w:tcPr>
            <w:tcW w:w="2959" w:type="dxa"/>
            <w:vAlign w:val="center"/>
          </w:tcPr>
          <w:p>
            <w:pPr>
              <w:pStyle w:val="9"/>
            </w:pPr>
            <w:r>
              <w:t>三、国防支出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9"/>
            </w:pPr>
            <w:r>
              <w:t>四、财政专户管理资金收入</w:t>
            </w:r>
          </w:p>
        </w:tc>
        <w:tc>
          <w:tcPr>
            <w:tcW w:w="2959" w:type="dxa"/>
            <w:vAlign w:val="center"/>
          </w:tcPr>
          <w:p>
            <w:pPr>
              <w:pStyle w:val="8"/>
            </w:pPr>
          </w:p>
        </w:tc>
        <w:tc>
          <w:tcPr>
            <w:tcW w:w="2959" w:type="dxa"/>
            <w:vAlign w:val="center"/>
          </w:tcPr>
          <w:p>
            <w:pPr>
              <w:pStyle w:val="9"/>
            </w:pPr>
            <w:r>
              <w:t>四、公共安全支出</w:t>
            </w:r>
          </w:p>
        </w:tc>
        <w:tc>
          <w:tcPr>
            <w:tcW w:w="2959" w:type="dxa"/>
            <w:vAlign w:val="center"/>
          </w:tcPr>
          <w:p>
            <w:pPr>
              <w:pStyle w:val="8"/>
            </w:pPr>
            <w:r>
              <w:t>1567.00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9"/>
            </w:pPr>
            <w:r>
              <w:t>五、事业收入</w:t>
            </w:r>
          </w:p>
        </w:tc>
        <w:tc>
          <w:tcPr>
            <w:tcW w:w="2959" w:type="dxa"/>
            <w:vAlign w:val="center"/>
          </w:tcPr>
          <w:p>
            <w:pPr>
              <w:pStyle w:val="8"/>
            </w:pPr>
          </w:p>
        </w:tc>
        <w:tc>
          <w:tcPr>
            <w:tcW w:w="2959" w:type="dxa"/>
            <w:vAlign w:val="center"/>
          </w:tcPr>
          <w:p>
            <w:pPr>
              <w:pStyle w:val="9"/>
            </w:pPr>
            <w:r>
              <w:t>五、教育支出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9"/>
            </w:pPr>
            <w:r>
              <w:t>六、事业单位经营收入</w:t>
            </w:r>
          </w:p>
        </w:tc>
        <w:tc>
          <w:tcPr>
            <w:tcW w:w="2959" w:type="dxa"/>
            <w:vAlign w:val="center"/>
          </w:tcPr>
          <w:p>
            <w:pPr>
              <w:pStyle w:val="8"/>
            </w:pPr>
          </w:p>
        </w:tc>
        <w:tc>
          <w:tcPr>
            <w:tcW w:w="2959" w:type="dxa"/>
            <w:vAlign w:val="center"/>
          </w:tcPr>
          <w:p>
            <w:pPr>
              <w:pStyle w:val="9"/>
            </w:pPr>
            <w:r>
              <w:t>六、科学技术支出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9"/>
            </w:pPr>
            <w:r>
              <w:t>七、上级补助收入</w:t>
            </w:r>
          </w:p>
        </w:tc>
        <w:tc>
          <w:tcPr>
            <w:tcW w:w="2959" w:type="dxa"/>
            <w:vAlign w:val="center"/>
          </w:tcPr>
          <w:p>
            <w:pPr>
              <w:pStyle w:val="8"/>
            </w:pPr>
          </w:p>
        </w:tc>
        <w:tc>
          <w:tcPr>
            <w:tcW w:w="2959" w:type="dxa"/>
            <w:vAlign w:val="center"/>
          </w:tcPr>
          <w:p>
            <w:pPr>
              <w:pStyle w:val="9"/>
            </w:pPr>
            <w:r>
              <w:t>七、文化旅游体育与传媒支出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9"/>
            </w:pPr>
            <w:r>
              <w:t>八、附属单位上缴收入</w:t>
            </w:r>
          </w:p>
        </w:tc>
        <w:tc>
          <w:tcPr>
            <w:tcW w:w="2959" w:type="dxa"/>
            <w:vAlign w:val="center"/>
          </w:tcPr>
          <w:p>
            <w:pPr>
              <w:pStyle w:val="8"/>
            </w:pPr>
          </w:p>
        </w:tc>
        <w:tc>
          <w:tcPr>
            <w:tcW w:w="2959" w:type="dxa"/>
            <w:vAlign w:val="center"/>
          </w:tcPr>
          <w:p>
            <w:pPr>
              <w:pStyle w:val="9"/>
            </w:pPr>
            <w:r>
              <w:t>八、社会保障和就业支出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9"/>
            </w:pPr>
            <w:r>
              <w:t>九、其他收入</w:t>
            </w:r>
          </w:p>
        </w:tc>
        <w:tc>
          <w:tcPr>
            <w:tcW w:w="2959" w:type="dxa"/>
            <w:vAlign w:val="center"/>
          </w:tcPr>
          <w:p>
            <w:pPr>
              <w:pStyle w:val="8"/>
            </w:pPr>
          </w:p>
        </w:tc>
        <w:tc>
          <w:tcPr>
            <w:tcW w:w="2959" w:type="dxa"/>
            <w:vAlign w:val="center"/>
          </w:tcPr>
          <w:p>
            <w:pPr>
              <w:pStyle w:val="9"/>
            </w:pPr>
            <w:r>
              <w:t>九、社会保险基金支出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十、卫生健康支出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十一、节能环保支出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十二、城乡社区支出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十三、农林水支出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十四、交通运输支出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十五、资源勘探工业信息等支出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十六、商业服务业等支出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十七、金融支出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十八、援助其他地区支出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十九、自然资源海洋气象等支出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二十、住房保障支出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二十一、粮油物资储备支出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二十二、国有资本经营预算支出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二十三、灾害防治及应急管理支出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二十四、预备费</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二十五、其他支出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二十六、转移性支出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二十七、债务还本支出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二十八、债务付息支出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二十九、债务发行费用支出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三十、抗疫特别国债安排的支出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三十一、人行专用科目</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本年收入合计</w:t>
            </w:r>
          </w:p>
        </w:tc>
        <w:tc>
          <w:tcPr>
            <w:tcW w:w="2959" w:type="dxa"/>
            <w:vAlign w:val="center"/>
          </w:tcPr>
          <w:p>
            <w:pPr>
              <w:pStyle w:val="12"/>
            </w:pPr>
            <w:r>
              <w:t>1567.00</w:t>
            </w:r>
          </w:p>
        </w:tc>
        <w:tc>
          <w:tcPr>
            <w:tcW w:w="2959" w:type="dxa"/>
            <w:vAlign w:val="center"/>
          </w:tcPr>
          <w:p>
            <w:pPr>
              <w:pStyle w:val="11"/>
            </w:pPr>
            <w:r>
              <w:t>本年支出合计</w:t>
            </w:r>
          </w:p>
        </w:tc>
        <w:tc>
          <w:tcPr>
            <w:tcW w:w="2959" w:type="dxa"/>
            <w:vAlign w:val="center"/>
          </w:tcPr>
          <w:p>
            <w:pPr>
              <w:pStyle w:val="12"/>
            </w:pPr>
            <w:r>
              <w:t>1567.00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9"/>
            </w:pPr>
            <w:r>
              <w:t>上年结转结余</w:t>
            </w:r>
          </w:p>
        </w:tc>
        <w:tc>
          <w:tcPr>
            <w:tcW w:w="2959" w:type="dxa"/>
            <w:vAlign w:val="center"/>
          </w:tcPr>
          <w:p>
            <w:pPr>
              <w:pStyle w:val="8"/>
            </w:pPr>
          </w:p>
        </w:tc>
        <w:tc>
          <w:tcPr>
            <w:tcW w:w="2959" w:type="dxa"/>
            <w:vAlign w:val="center"/>
          </w:tcPr>
          <w:p>
            <w:pPr>
              <w:pStyle w:val="9"/>
            </w:pPr>
            <w:r>
              <w:t>年终结转结余</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1"/>
            </w:pPr>
            <w:r>
              <w:t>收入总计</w:t>
            </w:r>
          </w:p>
        </w:tc>
        <w:tc>
          <w:tcPr>
            <w:tcW w:w="2959" w:type="dxa"/>
            <w:vAlign w:val="center"/>
          </w:tcPr>
          <w:p>
            <w:pPr>
              <w:pStyle w:val="12"/>
            </w:pPr>
            <w:r>
              <w:t>1567.00</w:t>
            </w:r>
          </w:p>
        </w:tc>
        <w:tc>
          <w:tcPr>
            <w:tcW w:w="2959" w:type="dxa"/>
            <w:vAlign w:val="center"/>
          </w:tcPr>
          <w:p>
            <w:pPr>
              <w:pStyle w:val="11"/>
            </w:pPr>
            <w:r>
              <w:t>支出总计</w:t>
            </w:r>
          </w:p>
        </w:tc>
        <w:tc>
          <w:tcPr>
            <w:tcW w:w="2959" w:type="dxa"/>
            <w:vAlign w:val="center"/>
          </w:tcPr>
          <w:p>
            <w:pPr>
              <w:pStyle w:val="12"/>
            </w:pPr>
            <w:r>
              <w:t>1567.00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249017宁晋县人民检察院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1567.00</w:t>
            </w:r>
          </w:p>
        </w:tc>
        <w:tc>
          <w:tcPr>
            <w:tcW w:w="758" w:type="dxa"/>
            <w:vAlign w:val="center"/>
          </w:tcPr>
          <w:p>
            <w:pPr>
              <w:pStyle w:val="12"/>
            </w:pPr>
            <w:r>
              <w:t>1567.00</w:t>
            </w:r>
          </w:p>
        </w:tc>
        <w:tc>
          <w:tcPr>
            <w:tcW w:w="758" w:type="dxa"/>
            <w:vAlign w:val="center"/>
          </w:tcPr>
          <w:p>
            <w:pPr>
              <w:pStyle w:val="12"/>
            </w:pPr>
            <w:r>
              <w:t>1567.00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8"/>
            </w:pPr>
            <w:r>
              <w:t>1567.00</w:t>
            </w:r>
          </w:p>
        </w:tc>
        <w:tc>
          <w:tcPr>
            <w:tcW w:w="758" w:type="dxa"/>
            <w:vAlign w:val="center"/>
          </w:tcPr>
          <w:p>
            <w:pPr>
              <w:pStyle w:val="8"/>
            </w:pPr>
            <w:r>
              <w:t>1567.00</w:t>
            </w:r>
          </w:p>
        </w:tc>
        <w:tc>
          <w:tcPr>
            <w:tcW w:w="758" w:type="dxa"/>
            <w:vAlign w:val="center"/>
          </w:tcPr>
          <w:p>
            <w:pPr>
              <w:pStyle w:val="8"/>
            </w:pPr>
            <w:r>
              <w:t>1567.00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20404</w:t>
            </w:r>
          </w:p>
        </w:tc>
        <w:tc>
          <w:tcPr>
            <w:tcW w:w="758" w:type="dxa"/>
            <w:vAlign w:val="center"/>
          </w:tcPr>
          <w:p>
            <w:pPr>
              <w:pStyle w:val="9"/>
            </w:pPr>
            <w:r>
              <w:t>检察</w:t>
            </w:r>
          </w:p>
        </w:tc>
        <w:tc>
          <w:tcPr>
            <w:tcW w:w="758" w:type="dxa"/>
            <w:vAlign w:val="center"/>
          </w:tcPr>
          <w:p>
            <w:pPr>
              <w:pStyle w:val="8"/>
            </w:pPr>
            <w:r>
              <w:t>1567.00</w:t>
            </w:r>
          </w:p>
        </w:tc>
        <w:tc>
          <w:tcPr>
            <w:tcW w:w="758" w:type="dxa"/>
            <w:vAlign w:val="center"/>
          </w:tcPr>
          <w:p>
            <w:pPr>
              <w:pStyle w:val="8"/>
            </w:pPr>
            <w:r>
              <w:t>1567.00</w:t>
            </w:r>
          </w:p>
        </w:tc>
        <w:tc>
          <w:tcPr>
            <w:tcW w:w="758" w:type="dxa"/>
            <w:vAlign w:val="center"/>
          </w:tcPr>
          <w:p>
            <w:pPr>
              <w:pStyle w:val="8"/>
            </w:pPr>
            <w:r>
              <w:t>1567.00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2040401</w:t>
            </w:r>
          </w:p>
        </w:tc>
        <w:tc>
          <w:tcPr>
            <w:tcW w:w="758" w:type="dxa"/>
            <w:vAlign w:val="center"/>
          </w:tcPr>
          <w:p>
            <w:pPr>
              <w:pStyle w:val="9"/>
            </w:pPr>
            <w:r>
              <w:t>行政运行</w:t>
            </w:r>
          </w:p>
        </w:tc>
        <w:tc>
          <w:tcPr>
            <w:tcW w:w="758" w:type="dxa"/>
            <w:vAlign w:val="center"/>
          </w:tcPr>
          <w:p>
            <w:pPr>
              <w:pStyle w:val="8"/>
            </w:pPr>
            <w:r>
              <w:t>1021.00</w:t>
            </w:r>
          </w:p>
        </w:tc>
        <w:tc>
          <w:tcPr>
            <w:tcW w:w="758" w:type="dxa"/>
            <w:vAlign w:val="center"/>
          </w:tcPr>
          <w:p>
            <w:pPr>
              <w:pStyle w:val="8"/>
            </w:pPr>
            <w:r>
              <w:t>1021.00</w:t>
            </w:r>
          </w:p>
        </w:tc>
        <w:tc>
          <w:tcPr>
            <w:tcW w:w="758" w:type="dxa"/>
            <w:vAlign w:val="center"/>
          </w:tcPr>
          <w:p>
            <w:pPr>
              <w:pStyle w:val="8"/>
            </w:pPr>
            <w:r>
              <w:t>1021.00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2040402</w:t>
            </w:r>
          </w:p>
        </w:tc>
        <w:tc>
          <w:tcPr>
            <w:tcW w:w="758" w:type="dxa"/>
            <w:vAlign w:val="center"/>
          </w:tcPr>
          <w:p>
            <w:pPr>
              <w:pStyle w:val="9"/>
            </w:pPr>
            <w:r>
              <w:t>一般行政管理事务</w:t>
            </w:r>
          </w:p>
        </w:tc>
        <w:tc>
          <w:tcPr>
            <w:tcW w:w="758" w:type="dxa"/>
            <w:vAlign w:val="center"/>
          </w:tcPr>
          <w:p>
            <w:pPr>
              <w:pStyle w:val="8"/>
            </w:pPr>
            <w:r>
              <w:t>391.00</w:t>
            </w:r>
          </w:p>
        </w:tc>
        <w:tc>
          <w:tcPr>
            <w:tcW w:w="758" w:type="dxa"/>
            <w:vAlign w:val="center"/>
          </w:tcPr>
          <w:p>
            <w:pPr>
              <w:pStyle w:val="8"/>
            </w:pPr>
            <w:r>
              <w:t>391.00</w:t>
            </w:r>
          </w:p>
        </w:tc>
        <w:tc>
          <w:tcPr>
            <w:tcW w:w="758" w:type="dxa"/>
            <w:vAlign w:val="center"/>
          </w:tcPr>
          <w:p>
            <w:pPr>
              <w:pStyle w:val="8"/>
            </w:pPr>
            <w:r>
              <w:t>391.00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2040410</w:t>
            </w:r>
          </w:p>
        </w:tc>
        <w:tc>
          <w:tcPr>
            <w:tcW w:w="758" w:type="dxa"/>
            <w:vAlign w:val="center"/>
          </w:tcPr>
          <w:p>
            <w:pPr>
              <w:pStyle w:val="9"/>
            </w:pPr>
            <w:r>
              <w:t>检察监督</w:t>
            </w:r>
          </w:p>
        </w:tc>
        <w:tc>
          <w:tcPr>
            <w:tcW w:w="758" w:type="dxa"/>
            <w:vAlign w:val="center"/>
          </w:tcPr>
          <w:p>
            <w:pPr>
              <w:pStyle w:val="8"/>
            </w:pPr>
            <w:r>
              <w:t>76.00</w:t>
            </w:r>
          </w:p>
        </w:tc>
        <w:tc>
          <w:tcPr>
            <w:tcW w:w="758" w:type="dxa"/>
            <w:vAlign w:val="center"/>
          </w:tcPr>
          <w:p>
            <w:pPr>
              <w:pStyle w:val="8"/>
            </w:pPr>
            <w:r>
              <w:t>76.00</w:t>
            </w:r>
          </w:p>
        </w:tc>
        <w:tc>
          <w:tcPr>
            <w:tcW w:w="758" w:type="dxa"/>
            <w:vAlign w:val="center"/>
          </w:tcPr>
          <w:p>
            <w:pPr>
              <w:pStyle w:val="8"/>
            </w:pPr>
            <w:r>
              <w:t>76.00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2040499</w:t>
            </w:r>
          </w:p>
        </w:tc>
        <w:tc>
          <w:tcPr>
            <w:tcW w:w="758" w:type="dxa"/>
            <w:vAlign w:val="center"/>
          </w:tcPr>
          <w:p>
            <w:pPr>
              <w:pStyle w:val="9"/>
            </w:pPr>
            <w:r>
              <w:t>其他检察支出</w:t>
            </w:r>
          </w:p>
        </w:tc>
        <w:tc>
          <w:tcPr>
            <w:tcW w:w="758" w:type="dxa"/>
            <w:vAlign w:val="center"/>
          </w:tcPr>
          <w:p>
            <w:pPr>
              <w:pStyle w:val="8"/>
            </w:pPr>
            <w:r>
              <w:t>79.00</w:t>
            </w:r>
          </w:p>
        </w:tc>
        <w:tc>
          <w:tcPr>
            <w:tcW w:w="758" w:type="dxa"/>
            <w:vAlign w:val="center"/>
          </w:tcPr>
          <w:p>
            <w:pPr>
              <w:pStyle w:val="8"/>
            </w:pPr>
            <w:r>
              <w:t>79.00</w:t>
            </w:r>
          </w:p>
        </w:tc>
        <w:tc>
          <w:tcPr>
            <w:tcW w:w="758" w:type="dxa"/>
            <w:vAlign w:val="center"/>
          </w:tcPr>
          <w:p>
            <w:pPr>
              <w:pStyle w:val="8"/>
            </w:pPr>
            <w:r>
              <w:t>79.00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249017宁晋县人民检察院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1567.00</w:t>
            </w:r>
          </w:p>
        </w:tc>
        <w:tc>
          <w:tcPr>
            <w:tcW w:w="1095" w:type="dxa"/>
            <w:vAlign w:val="center"/>
          </w:tcPr>
          <w:p>
            <w:pPr>
              <w:pStyle w:val="12"/>
            </w:pPr>
            <w:r>
              <w:t>1021.00</w:t>
            </w:r>
          </w:p>
        </w:tc>
        <w:tc>
          <w:tcPr>
            <w:tcW w:w="1095" w:type="dxa"/>
            <w:vAlign w:val="center"/>
          </w:tcPr>
          <w:p>
            <w:pPr>
              <w:pStyle w:val="12"/>
            </w:pPr>
            <w:r>
              <w:t>546.00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8"/>
            </w:pPr>
            <w:r>
              <w:t>1567.00</w:t>
            </w:r>
          </w:p>
        </w:tc>
        <w:tc>
          <w:tcPr>
            <w:tcW w:w="1095" w:type="dxa"/>
            <w:vAlign w:val="center"/>
          </w:tcPr>
          <w:p>
            <w:pPr>
              <w:pStyle w:val="8"/>
            </w:pPr>
            <w:r>
              <w:t>1021.00</w:t>
            </w:r>
          </w:p>
        </w:tc>
        <w:tc>
          <w:tcPr>
            <w:tcW w:w="1095" w:type="dxa"/>
            <w:vAlign w:val="center"/>
          </w:tcPr>
          <w:p>
            <w:pPr>
              <w:pStyle w:val="8"/>
            </w:pPr>
            <w:r>
              <w:t>546.00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20404</w:t>
            </w:r>
          </w:p>
        </w:tc>
        <w:tc>
          <w:tcPr>
            <w:tcW w:w="1095" w:type="dxa"/>
            <w:vAlign w:val="center"/>
          </w:tcPr>
          <w:p>
            <w:pPr>
              <w:pStyle w:val="9"/>
            </w:pPr>
            <w:r>
              <w:t>检察</w:t>
            </w:r>
          </w:p>
        </w:tc>
        <w:tc>
          <w:tcPr>
            <w:tcW w:w="1095" w:type="dxa"/>
            <w:vAlign w:val="center"/>
          </w:tcPr>
          <w:p>
            <w:pPr>
              <w:pStyle w:val="8"/>
            </w:pPr>
            <w:r>
              <w:t>1567.00</w:t>
            </w:r>
          </w:p>
        </w:tc>
        <w:tc>
          <w:tcPr>
            <w:tcW w:w="1095" w:type="dxa"/>
            <w:vAlign w:val="center"/>
          </w:tcPr>
          <w:p>
            <w:pPr>
              <w:pStyle w:val="8"/>
            </w:pPr>
            <w:r>
              <w:t>1021.00</w:t>
            </w:r>
          </w:p>
        </w:tc>
        <w:tc>
          <w:tcPr>
            <w:tcW w:w="1095" w:type="dxa"/>
            <w:vAlign w:val="center"/>
          </w:tcPr>
          <w:p>
            <w:pPr>
              <w:pStyle w:val="8"/>
            </w:pPr>
            <w:r>
              <w:t>546.00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2040401</w:t>
            </w:r>
          </w:p>
        </w:tc>
        <w:tc>
          <w:tcPr>
            <w:tcW w:w="1095" w:type="dxa"/>
            <w:vAlign w:val="center"/>
          </w:tcPr>
          <w:p>
            <w:pPr>
              <w:pStyle w:val="9"/>
            </w:pPr>
            <w:r>
              <w:t>行政运行</w:t>
            </w:r>
          </w:p>
        </w:tc>
        <w:tc>
          <w:tcPr>
            <w:tcW w:w="1095" w:type="dxa"/>
            <w:vAlign w:val="center"/>
          </w:tcPr>
          <w:p>
            <w:pPr>
              <w:pStyle w:val="8"/>
            </w:pPr>
            <w:r>
              <w:t>1021.00</w:t>
            </w:r>
          </w:p>
        </w:tc>
        <w:tc>
          <w:tcPr>
            <w:tcW w:w="1095" w:type="dxa"/>
            <w:vAlign w:val="center"/>
          </w:tcPr>
          <w:p>
            <w:pPr>
              <w:pStyle w:val="8"/>
            </w:pPr>
            <w:r>
              <w:t>1021.00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2040402</w:t>
            </w:r>
          </w:p>
        </w:tc>
        <w:tc>
          <w:tcPr>
            <w:tcW w:w="1095" w:type="dxa"/>
            <w:vAlign w:val="center"/>
          </w:tcPr>
          <w:p>
            <w:pPr>
              <w:pStyle w:val="9"/>
            </w:pPr>
            <w:r>
              <w:t>一般行政管理事务</w:t>
            </w:r>
          </w:p>
        </w:tc>
        <w:tc>
          <w:tcPr>
            <w:tcW w:w="1095" w:type="dxa"/>
            <w:vAlign w:val="center"/>
          </w:tcPr>
          <w:p>
            <w:pPr>
              <w:pStyle w:val="8"/>
            </w:pPr>
            <w:r>
              <w:t>391.00</w:t>
            </w:r>
          </w:p>
        </w:tc>
        <w:tc>
          <w:tcPr>
            <w:tcW w:w="1095" w:type="dxa"/>
            <w:vAlign w:val="center"/>
          </w:tcPr>
          <w:p>
            <w:pPr>
              <w:pStyle w:val="8"/>
            </w:pPr>
          </w:p>
        </w:tc>
        <w:tc>
          <w:tcPr>
            <w:tcW w:w="1095" w:type="dxa"/>
            <w:vAlign w:val="center"/>
          </w:tcPr>
          <w:p>
            <w:pPr>
              <w:pStyle w:val="8"/>
            </w:pPr>
            <w:r>
              <w:t>391.00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2040410</w:t>
            </w:r>
          </w:p>
        </w:tc>
        <w:tc>
          <w:tcPr>
            <w:tcW w:w="1095" w:type="dxa"/>
            <w:vAlign w:val="center"/>
          </w:tcPr>
          <w:p>
            <w:pPr>
              <w:pStyle w:val="9"/>
            </w:pPr>
            <w:r>
              <w:t>检察监督</w:t>
            </w:r>
          </w:p>
        </w:tc>
        <w:tc>
          <w:tcPr>
            <w:tcW w:w="1095" w:type="dxa"/>
            <w:vAlign w:val="center"/>
          </w:tcPr>
          <w:p>
            <w:pPr>
              <w:pStyle w:val="8"/>
            </w:pPr>
            <w:r>
              <w:t>76.00</w:t>
            </w:r>
          </w:p>
        </w:tc>
        <w:tc>
          <w:tcPr>
            <w:tcW w:w="1095" w:type="dxa"/>
            <w:vAlign w:val="center"/>
          </w:tcPr>
          <w:p>
            <w:pPr>
              <w:pStyle w:val="8"/>
            </w:pPr>
          </w:p>
        </w:tc>
        <w:tc>
          <w:tcPr>
            <w:tcW w:w="1095" w:type="dxa"/>
            <w:vAlign w:val="center"/>
          </w:tcPr>
          <w:p>
            <w:pPr>
              <w:pStyle w:val="8"/>
            </w:pPr>
            <w:r>
              <w:t>76.00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2040499</w:t>
            </w:r>
          </w:p>
        </w:tc>
        <w:tc>
          <w:tcPr>
            <w:tcW w:w="1095" w:type="dxa"/>
            <w:vAlign w:val="center"/>
          </w:tcPr>
          <w:p>
            <w:pPr>
              <w:pStyle w:val="9"/>
            </w:pPr>
            <w:r>
              <w:t>其他检察支出</w:t>
            </w:r>
          </w:p>
        </w:tc>
        <w:tc>
          <w:tcPr>
            <w:tcW w:w="1095" w:type="dxa"/>
            <w:vAlign w:val="center"/>
          </w:tcPr>
          <w:p>
            <w:pPr>
              <w:pStyle w:val="8"/>
            </w:pPr>
            <w:r>
              <w:t>79.00</w:t>
            </w:r>
          </w:p>
        </w:tc>
        <w:tc>
          <w:tcPr>
            <w:tcW w:w="1095" w:type="dxa"/>
            <w:vAlign w:val="center"/>
          </w:tcPr>
          <w:p>
            <w:pPr>
              <w:pStyle w:val="8"/>
            </w:pPr>
          </w:p>
        </w:tc>
        <w:tc>
          <w:tcPr>
            <w:tcW w:w="1095" w:type="dxa"/>
            <w:vAlign w:val="center"/>
          </w:tcPr>
          <w:p>
            <w:pPr>
              <w:pStyle w:val="8"/>
            </w:pPr>
            <w:r>
              <w:t>79.00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1567.00</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r>
              <w:t>1567.00</w:t>
            </w:r>
          </w:p>
        </w:tc>
        <w:tc>
          <w:tcPr>
            <w:tcW w:w="1232" w:type="dxa"/>
            <w:vAlign w:val="center"/>
          </w:tcPr>
          <w:p>
            <w:pPr>
              <w:pStyle w:val="8"/>
            </w:pPr>
            <w:r>
              <w:t>1567.00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三十一、人行专用科目</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1567.00</w:t>
            </w:r>
          </w:p>
        </w:tc>
        <w:tc>
          <w:tcPr>
            <w:tcW w:w="1232" w:type="dxa"/>
            <w:vAlign w:val="center"/>
          </w:tcPr>
          <w:p>
            <w:pPr>
              <w:pStyle w:val="11"/>
            </w:pPr>
            <w:r>
              <w:t>本年支出合计</w:t>
            </w:r>
          </w:p>
        </w:tc>
        <w:tc>
          <w:tcPr>
            <w:tcW w:w="1232" w:type="dxa"/>
            <w:vAlign w:val="center"/>
          </w:tcPr>
          <w:p>
            <w:pPr>
              <w:pStyle w:val="12"/>
            </w:pPr>
            <w:r>
              <w:t>1567.00</w:t>
            </w:r>
          </w:p>
        </w:tc>
        <w:tc>
          <w:tcPr>
            <w:tcW w:w="1232" w:type="dxa"/>
            <w:vAlign w:val="center"/>
          </w:tcPr>
          <w:p>
            <w:pPr>
              <w:pStyle w:val="12"/>
            </w:pPr>
            <w:r>
              <w:t>1567.00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1567.00</w:t>
            </w:r>
          </w:p>
        </w:tc>
        <w:tc>
          <w:tcPr>
            <w:tcW w:w="1232" w:type="dxa"/>
            <w:vAlign w:val="center"/>
          </w:tcPr>
          <w:p>
            <w:pPr>
              <w:pStyle w:val="11"/>
            </w:pPr>
            <w:r>
              <w:t>支出总计</w:t>
            </w:r>
          </w:p>
        </w:tc>
        <w:tc>
          <w:tcPr>
            <w:tcW w:w="1232" w:type="dxa"/>
            <w:vAlign w:val="center"/>
          </w:tcPr>
          <w:p>
            <w:pPr>
              <w:pStyle w:val="12"/>
            </w:pPr>
            <w:r>
              <w:t>1567.00</w:t>
            </w:r>
          </w:p>
        </w:tc>
        <w:tc>
          <w:tcPr>
            <w:tcW w:w="1232" w:type="dxa"/>
            <w:vAlign w:val="center"/>
          </w:tcPr>
          <w:p>
            <w:pPr>
              <w:pStyle w:val="12"/>
            </w:pPr>
            <w:r>
              <w:t>1567.00</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1567.00</w:t>
            </w:r>
          </w:p>
        </w:tc>
        <w:tc>
          <w:tcPr>
            <w:tcW w:w="1643" w:type="dxa"/>
            <w:vAlign w:val="center"/>
          </w:tcPr>
          <w:p>
            <w:pPr>
              <w:pStyle w:val="12"/>
            </w:pPr>
            <w:r>
              <w:t>1021.00</w:t>
            </w:r>
          </w:p>
        </w:tc>
        <w:tc>
          <w:tcPr>
            <w:tcW w:w="1643" w:type="dxa"/>
            <w:vAlign w:val="center"/>
          </w:tcPr>
          <w:p>
            <w:pPr>
              <w:pStyle w:val="12"/>
            </w:pPr>
            <w:r>
              <w:t>546.00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8"/>
            </w:pPr>
            <w:r>
              <w:t>1567.00</w:t>
            </w:r>
          </w:p>
        </w:tc>
        <w:tc>
          <w:tcPr>
            <w:tcW w:w="1643" w:type="dxa"/>
            <w:vAlign w:val="center"/>
          </w:tcPr>
          <w:p>
            <w:pPr>
              <w:pStyle w:val="8"/>
            </w:pPr>
            <w:r>
              <w:t>1021.00</w:t>
            </w:r>
          </w:p>
        </w:tc>
        <w:tc>
          <w:tcPr>
            <w:tcW w:w="1643" w:type="dxa"/>
            <w:vAlign w:val="center"/>
          </w:tcPr>
          <w:p>
            <w:pPr>
              <w:pStyle w:val="8"/>
            </w:pPr>
            <w:r>
              <w:t>546.00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20404</w:t>
            </w:r>
          </w:p>
        </w:tc>
        <w:tc>
          <w:tcPr>
            <w:tcW w:w="1643" w:type="dxa"/>
            <w:vAlign w:val="center"/>
          </w:tcPr>
          <w:p>
            <w:pPr>
              <w:pStyle w:val="9"/>
            </w:pPr>
            <w:r>
              <w:t>检察</w:t>
            </w:r>
          </w:p>
        </w:tc>
        <w:tc>
          <w:tcPr>
            <w:tcW w:w="1643" w:type="dxa"/>
            <w:vAlign w:val="center"/>
          </w:tcPr>
          <w:p>
            <w:pPr>
              <w:pStyle w:val="8"/>
            </w:pPr>
            <w:r>
              <w:t>1567.00</w:t>
            </w:r>
          </w:p>
        </w:tc>
        <w:tc>
          <w:tcPr>
            <w:tcW w:w="1643" w:type="dxa"/>
            <w:vAlign w:val="center"/>
          </w:tcPr>
          <w:p>
            <w:pPr>
              <w:pStyle w:val="8"/>
            </w:pPr>
            <w:r>
              <w:t>1021.00</w:t>
            </w:r>
          </w:p>
        </w:tc>
        <w:tc>
          <w:tcPr>
            <w:tcW w:w="1643" w:type="dxa"/>
            <w:vAlign w:val="center"/>
          </w:tcPr>
          <w:p>
            <w:pPr>
              <w:pStyle w:val="8"/>
            </w:pPr>
            <w:r>
              <w:t>546.00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2040401</w:t>
            </w:r>
          </w:p>
        </w:tc>
        <w:tc>
          <w:tcPr>
            <w:tcW w:w="1643" w:type="dxa"/>
            <w:vAlign w:val="center"/>
          </w:tcPr>
          <w:p>
            <w:pPr>
              <w:pStyle w:val="9"/>
            </w:pPr>
            <w:r>
              <w:t>行政运行</w:t>
            </w:r>
          </w:p>
        </w:tc>
        <w:tc>
          <w:tcPr>
            <w:tcW w:w="1643" w:type="dxa"/>
            <w:vAlign w:val="center"/>
          </w:tcPr>
          <w:p>
            <w:pPr>
              <w:pStyle w:val="8"/>
            </w:pPr>
            <w:r>
              <w:t>1021.00</w:t>
            </w:r>
          </w:p>
        </w:tc>
        <w:tc>
          <w:tcPr>
            <w:tcW w:w="1643" w:type="dxa"/>
            <w:vAlign w:val="center"/>
          </w:tcPr>
          <w:p>
            <w:pPr>
              <w:pStyle w:val="8"/>
            </w:pPr>
            <w:r>
              <w:t>1021.00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2040402</w:t>
            </w:r>
          </w:p>
        </w:tc>
        <w:tc>
          <w:tcPr>
            <w:tcW w:w="1643" w:type="dxa"/>
            <w:vAlign w:val="center"/>
          </w:tcPr>
          <w:p>
            <w:pPr>
              <w:pStyle w:val="9"/>
            </w:pPr>
            <w:r>
              <w:t>一般行政管理事务</w:t>
            </w:r>
          </w:p>
        </w:tc>
        <w:tc>
          <w:tcPr>
            <w:tcW w:w="1643" w:type="dxa"/>
            <w:vAlign w:val="center"/>
          </w:tcPr>
          <w:p>
            <w:pPr>
              <w:pStyle w:val="8"/>
            </w:pPr>
            <w:r>
              <w:t>391.00</w:t>
            </w:r>
          </w:p>
        </w:tc>
        <w:tc>
          <w:tcPr>
            <w:tcW w:w="1643" w:type="dxa"/>
            <w:vAlign w:val="center"/>
          </w:tcPr>
          <w:p>
            <w:pPr>
              <w:pStyle w:val="8"/>
            </w:pPr>
          </w:p>
        </w:tc>
        <w:tc>
          <w:tcPr>
            <w:tcW w:w="1643" w:type="dxa"/>
            <w:vAlign w:val="center"/>
          </w:tcPr>
          <w:p>
            <w:pPr>
              <w:pStyle w:val="8"/>
            </w:pPr>
            <w:r>
              <w:t>391.00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2040410</w:t>
            </w:r>
          </w:p>
        </w:tc>
        <w:tc>
          <w:tcPr>
            <w:tcW w:w="1643" w:type="dxa"/>
            <w:vAlign w:val="center"/>
          </w:tcPr>
          <w:p>
            <w:pPr>
              <w:pStyle w:val="9"/>
            </w:pPr>
            <w:r>
              <w:t>检察监督</w:t>
            </w:r>
          </w:p>
        </w:tc>
        <w:tc>
          <w:tcPr>
            <w:tcW w:w="1643" w:type="dxa"/>
            <w:vAlign w:val="center"/>
          </w:tcPr>
          <w:p>
            <w:pPr>
              <w:pStyle w:val="8"/>
            </w:pPr>
            <w:r>
              <w:t>76.00</w:t>
            </w:r>
          </w:p>
        </w:tc>
        <w:tc>
          <w:tcPr>
            <w:tcW w:w="1643" w:type="dxa"/>
            <w:vAlign w:val="center"/>
          </w:tcPr>
          <w:p>
            <w:pPr>
              <w:pStyle w:val="8"/>
            </w:pPr>
          </w:p>
        </w:tc>
        <w:tc>
          <w:tcPr>
            <w:tcW w:w="1643" w:type="dxa"/>
            <w:vAlign w:val="center"/>
          </w:tcPr>
          <w:p>
            <w:pPr>
              <w:pStyle w:val="8"/>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2040499</w:t>
            </w:r>
          </w:p>
        </w:tc>
        <w:tc>
          <w:tcPr>
            <w:tcW w:w="1643" w:type="dxa"/>
            <w:vAlign w:val="center"/>
          </w:tcPr>
          <w:p>
            <w:pPr>
              <w:pStyle w:val="9"/>
            </w:pPr>
            <w:r>
              <w:t>其他检察支出</w:t>
            </w:r>
          </w:p>
        </w:tc>
        <w:tc>
          <w:tcPr>
            <w:tcW w:w="1643" w:type="dxa"/>
            <w:vAlign w:val="center"/>
          </w:tcPr>
          <w:p>
            <w:pPr>
              <w:pStyle w:val="8"/>
            </w:pPr>
            <w:r>
              <w:t>79.00</w:t>
            </w:r>
          </w:p>
        </w:tc>
        <w:tc>
          <w:tcPr>
            <w:tcW w:w="1643" w:type="dxa"/>
            <w:vAlign w:val="center"/>
          </w:tcPr>
          <w:p>
            <w:pPr>
              <w:pStyle w:val="8"/>
            </w:pPr>
          </w:p>
        </w:tc>
        <w:tc>
          <w:tcPr>
            <w:tcW w:w="1643" w:type="dxa"/>
            <w:vAlign w:val="center"/>
          </w:tcPr>
          <w:p>
            <w:pPr>
              <w:pStyle w:val="8"/>
            </w:pPr>
            <w:r>
              <w:t>79.00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1021.00</w:t>
            </w:r>
          </w:p>
        </w:tc>
        <w:tc>
          <w:tcPr>
            <w:tcW w:w="1643" w:type="dxa"/>
            <w:vAlign w:val="center"/>
          </w:tcPr>
          <w:p>
            <w:pPr>
              <w:pStyle w:val="12"/>
            </w:pPr>
            <w:r>
              <w:t>870.00</w:t>
            </w:r>
          </w:p>
        </w:tc>
        <w:tc>
          <w:tcPr>
            <w:tcW w:w="1643" w:type="dxa"/>
            <w:vAlign w:val="center"/>
          </w:tcPr>
          <w:p>
            <w:pPr>
              <w:pStyle w:val="12"/>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670.25</w:t>
            </w:r>
          </w:p>
        </w:tc>
        <w:tc>
          <w:tcPr>
            <w:tcW w:w="1643" w:type="dxa"/>
            <w:vAlign w:val="center"/>
          </w:tcPr>
          <w:p>
            <w:pPr>
              <w:pStyle w:val="8"/>
            </w:pPr>
            <w:r>
              <w:t>670.25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195.81</w:t>
            </w:r>
          </w:p>
        </w:tc>
        <w:tc>
          <w:tcPr>
            <w:tcW w:w="1643" w:type="dxa"/>
            <w:vAlign w:val="center"/>
          </w:tcPr>
          <w:p>
            <w:pPr>
              <w:pStyle w:val="8"/>
            </w:pPr>
            <w:r>
              <w:t>195.81</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151.83</w:t>
            </w:r>
          </w:p>
        </w:tc>
        <w:tc>
          <w:tcPr>
            <w:tcW w:w="1643" w:type="dxa"/>
            <w:vAlign w:val="center"/>
          </w:tcPr>
          <w:p>
            <w:pPr>
              <w:pStyle w:val="8"/>
            </w:pPr>
            <w:r>
              <w:t>151.83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8"/>
            </w:pPr>
            <w:r>
              <w:t>72.96</w:t>
            </w:r>
          </w:p>
        </w:tc>
        <w:tc>
          <w:tcPr>
            <w:tcW w:w="1643" w:type="dxa"/>
            <w:vAlign w:val="center"/>
          </w:tcPr>
          <w:p>
            <w:pPr>
              <w:pStyle w:val="8"/>
            </w:pPr>
            <w:r>
              <w:t>72.96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8"/>
            </w:pPr>
            <w:r>
              <w:t>116.57</w:t>
            </w:r>
          </w:p>
        </w:tc>
        <w:tc>
          <w:tcPr>
            <w:tcW w:w="1643" w:type="dxa"/>
            <w:vAlign w:val="center"/>
          </w:tcPr>
          <w:p>
            <w:pPr>
              <w:pStyle w:val="8"/>
            </w:pPr>
            <w:r>
              <w:t>116.57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52.19</w:t>
            </w:r>
          </w:p>
        </w:tc>
        <w:tc>
          <w:tcPr>
            <w:tcW w:w="1643" w:type="dxa"/>
            <w:vAlign w:val="center"/>
          </w:tcPr>
          <w:p>
            <w:pPr>
              <w:pStyle w:val="8"/>
            </w:pPr>
            <w:r>
              <w:t>52.19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8"/>
            </w:pPr>
            <w:r>
              <w:t>21.43</w:t>
            </w:r>
          </w:p>
        </w:tc>
        <w:tc>
          <w:tcPr>
            <w:tcW w:w="1643" w:type="dxa"/>
            <w:vAlign w:val="center"/>
          </w:tcPr>
          <w:p>
            <w:pPr>
              <w:pStyle w:val="8"/>
            </w:pPr>
            <w:r>
              <w:t>21.43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1.49</w:t>
            </w:r>
          </w:p>
        </w:tc>
        <w:tc>
          <w:tcPr>
            <w:tcW w:w="1643" w:type="dxa"/>
            <w:vAlign w:val="center"/>
          </w:tcPr>
          <w:p>
            <w:pPr>
              <w:pStyle w:val="8"/>
            </w:pPr>
            <w:r>
              <w:t>1.49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41.04</w:t>
            </w:r>
          </w:p>
        </w:tc>
        <w:tc>
          <w:tcPr>
            <w:tcW w:w="1643" w:type="dxa"/>
            <w:vAlign w:val="center"/>
          </w:tcPr>
          <w:p>
            <w:pPr>
              <w:pStyle w:val="8"/>
            </w:pPr>
            <w:r>
              <w:t>41.04</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8"/>
            </w:pPr>
            <w:r>
              <w:t>16.93</w:t>
            </w:r>
          </w:p>
        </w:tc>
        <w:tc>
          <w:tcPr>
            <w:tcW w:w="1643" w:type="dxa"/>
            <w:vAlign w:val="center"/>
          </w:tcPr>
          <w:p>
            <w:pPr>
              <w:pStyle w:val="8"/>
            </w:pPr>
            <w:r>
              <w:t>16.93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151.00</w:t>
            </w:r>
          </w:p>
        </w:tc>
        <w:tc>
          <w:tcPr>
            <w:tcW w:w="1643" w:type="dxa"/>
            <w:vAlign w:val="center"/>
          </w:tcPr>
          <w:p>
            <w:pPr>
              <w:pStyle w:val="8"/>
            </w:pPr>
          </w:p>
        </w:tc>
        <w:tc>
          <w:tcPr>
            <w:tcW w:w="1643" w:type="dxa"/>
            <w:vAlign w:val="center"/>
          </w:tcPr>
          <w:p>
            <w:pPr>
              <w:pStyle w:val="8"/>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23.24</w:t>
            </w:r>
          </w:p>
        </w:tc>
        <w:tc>
          <w:tcPr>
            <w:tcW w:w="1643" w:type="dxa"/>
            <w:vAlign w:val="center"/>
          </w:tcPr>
          <w:p>
            <w:pPr>
              <w:pStyle w:val="8"/>
            </w:pPr>
          </w:p>
        </w:tc>
        <w:tc>
          <w:tcPr>
            <w:tcW w:w="1643" w:type="dxa"/>
            <w:vAlign w:val="center"/>
          </w:tcPr>
          <w:p>
            <w:pPr>
              <w:pStyle w:val="8"/>
            </w:pPr>
            <w:r>
              <w:t>23.24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8"/>
            </w:pPr>
            <w:r>
              <w:t>13.00</w:t>
            </w:r>
          </w:p>
        </w:tc>
        <w:tc>
          <w:tcPr>
            <w:tcW w:w="1643" w:type="dxa"/>
            <w:vAlign w:val="center"/>
          </w:tcPr>
          <w:p>
            <w:pPr>
              <w:pStyle w:val="8"/>
            </w:pPr>
          </w:p>
        </w:tc>
        <w:tc>
          <w:tcPr>
            <w:tcW w:w="1643" w:type="dxa"/>
            <w:vAlign w:val="center"/>
          </w:tcPr>
          <w:p>
            <w:pPr>
              <w:pStyle w:val="8"/>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8"/>
            </w:pPr>
            <w:r>
              <w:t>2.50</w:t>
            </w:r>
          </w:p>
        </w:tc>
        <w:tc>
          <w:tcPr>
            <w:tcW w:w="1643" w:type="dxa"/>
            <w:vAlign w:val="center"/>
          </w:tcPr>
          <w:p>
            <w:pPr>
              <w:pStyle w:val="8"/>
            </w:pPr>
          </w:p>
        </w:tc>
        <w:tc>
          <w:tcPr>
            <w:tcW w:w="1643" w:type="dxa"/>
            <w:vAlign w:val="center"/>
          </w:tcPr>
          <w:p>
            <w:pPr>
              <w:pStyle w:val="8"/>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8"/>
            </w:pPr>
            <w:r>
              <w:t>6.00</w:t>
            </w:r>
          </w:p>
        </w:tc>
        <w:tc>
          <w:tcPr>
            <w:tcW w:w="1643" w:type="dxa"/>
            <w:vAlign w:val="center"/>
          </w:tcPr>
          <w:p>
            <w:pPr>
              <w:pStyle w:val="8"/>
            </w:pPr>
          </w:p>
        </w:tc>
        <w:tc>
          <w:tcPr>
            <w:tcW w:w="1643" w:type="dxa"/>
            <w:vAlign w:val="center"/>
          </w:tcPr>
          <w:p>
            <w:pPr>
              <w:pStyle w:val="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17.84</w:t>
            </w:r>
          </w:p>
        </w:tc>
        <w:tc>
          <w:tcPr>
            <w:tcW w:w="1643" w:type="dxa"/>
            <w:vAlign w:val="center"/>
          </w:tcPr>
          <w:p>
            <w:pPr>
              <w:pStyle w:val="8"/>
            </w:pPr>
          </w:p>
        </w:tc>
        <w:tc>
          <w:tcPr>
            <w:tcW w:w="1643" w:type="dxa"/>
            <w:vAlign w:val="center"/>
          </w:tcPr>
          <w:p>
            <w:pPr>
              <w:pStyle w:val="8"/>
            </w:pPr>
            <w:r>
              <w:t>17.84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8"/>
            </w:pPr>
            <w:r>
              <w:t>7.00</w:t>
            </w:r>
          </w:p>
        </w:tc>
        <w:tc>
          <w:tcPr>
            <w:tcW w:w="1643" w:type="dxa"/>
            <w:vAlign w:val="center"/>
          </w:tcPr>
          <w:p>
            <w:pPr>
              <w:pStyle w:val="8"/>
            </w:pPr>
          </w:p>
        </w:tc>
        <w:tc>
          <w:tcPr>
            <w:tcW w:w="1643" w:type="dxa"/>
            <w:vAlign w:val="center"/>
          </w:tcPr>
          <w:p>
            <w:pPr>
              <w:pStyle w:val="8"/>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8"/>
            </w:pPr>
            <w:r>
              <w:t>10.00</w:t>
            </w:r>
          </w:p>
        </w:tc>
        <w:tc>
          <w:tcPr>
            <w:tcW w:w="1643" w:type="dxa"/>
            <w:vAlign w:val="center"/>
          </w:tcPr>
          <w:p>
            <w:pPr>
              <w:pStyle w:val="8"/>
            </w:pPr>
          </w:p>
        </w:tc>
        <w:tc>
          <w:tcPr>
            <w:tcW w:w="1643" w:type="dxa"/>
            <w:vAlign w:val="center"/>
          </w:tcPr>
          <w:p>
            <w:pPr>
              <w:pStyle w:val="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30216</w:t>
            </w:r>
          </w:p>
        </w:tc>
        <w:tc>
          <w:tcPr>
            <w:tcW w:w="1643" w:type="dxa"/>
            <w:vAlign w:val="center"/>
          </w:tcPr>
          <w:p>
            <w:pPr>
              <w:pStyle w:val="9"/>
            </w:pPr>
            <w:r>
              <w:t>培训费</w:t>
            </w:r>
          </w:p>
        </w:tc>
        <w:tc>
          <w:tcPr>
            <w:tcW w:w="1643" w:type="dxa"/>
            <w:vAlign w:val="center"/>
          </w:tcPr>
          <w:p>
            <w:pPr>
              <w:pStyle w:val="8"/>
            </w:pPr>
            <w:r>
              <w:t>5.00</w:t>
            </w:r>
          </w:p>
        </w:tc>
        <w:tc>
          <w:tcPr>
            <w:tcW w:w="1643" w:type="dxa"/>
            <w:vAlign w:val="center"/>
          </w:tcPr>
          <w:p>
            <w:pPr>
              <w:pStyle w:val="8"/>
            </w:pPr>
          </w:p>
        </w:tc>
        <w:tc>
          <w:tcPr>
            <w:tcW w:w="1643" w:type="dxa"/>
            <w:vAlign w:val="center"/>
          </w:tcPr>
          <w:p>
            <w:pPr>
              <w:pStyle w:val="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9"/>
            </w:pPr>
            <w:r>
              <w:t>30217</w:t>
            </w:r>
          </w:p>
        </w:tc>
        <w:tc>
          <w:tcPr>
            <w:tcW w:w="1643" w:type="dxa"/>
            <w:vAlign w:val="center"/>
          </w:tcPr>
          <w:p>
            <w:pPr>
              <w:pStyle w:val="9"/>
            </w:pPr>
            <w:r>
              <w:t>公务接待费</w:t>
            </w:r>
          </w:p>
        </w:tc>
        <w:tc>
          <w:tcPr>
            <w:tcW w:w="1643" w:type="dxa"/>
            <w:vAlign w:val="center"/>
          </w:tcPr>
          <w:p>
            <w:pPr>
              <w:pStyle w:val="8"/>
            </w:pPr>
            <w:r>
              <w:t>0.49</w:t>
            </w:r>
          </w:p>
        </w:tc>
        <w:tc>
          <w:tcPr>
            <w:tcW w:w="1643" w:type="dxa"/>
            <w:vAlign w:val="center"/>
          </w:tcPr>
          <w:p>
            <w:pPr>
              <w:pStyle w:val="8"/>
            </w:pPr>
          </w:p>
        </w:tc>
        <w:tc>
          <w:tcPr>
            <w:tcW w:w="1643" w:type="dxa"/>
            <w:vAlign w:val="center"/>
          </w:tcPr>
          <w:p>
            <w:pPr>
              <w:pStyle w:val="8"/>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22</w:t>
            </w:r>
          </w:p>
        </w:tc>
        <w:tc>
          <w:tcPr>
            <w:tcW w:w="1643" w:type="dxa"/>
            <w:vAlign w:val="center"/>
          </w:tcPr>
          <w:p>
            <w:pPr>
              <w:pStyle w:val="9"/>
            </w:pPr>
            <w:r>
              <w:t>30227</w:t>
            </w:r>
          </w:p>
        </w:tc>
        <w:tc>
          <w:tcPr>
            <w:tcW w:w="1643" w:type="dxa"/>
            <w:vAlign w:val="center"/>
          </w:tcPr>
          <w:p>
            <w:pPr>
              <w:pStyle w:val="9"/>
            </w:pPr>
            <w:r>
              <w:t>委托业务费</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23</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8"/>
            </w:pPr>
            <w:r>
              <w:t>3.21</w:t>
            </w:r>
          </w:p>
        </w:tc>
        <w:tc>
          <w:tcPr>
            <w:tcW w:w="1643" w:type="dxa"/>
            <w:vAlign w:val="center"/>
          </w:tcPr>
          <w:p>
            <w:pPr>
              <w:pStyle w:val="8"/>
            </w:pPr>
          </w:p>
        </w:tc>
        <w:tc>
          <w:tcPr>
            <w:tcW w:w="1643" w:type="dxa"/>
            <w:vAlign w:val="center"/>
          </w:tcPr>
          <w:p>
            <w:pPr>
              <w:pStyle w:val="8"/>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24</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8"/>
            </w:pPr>
            <w:r>
              <w:t>7.00</w:t>
            </w:r>
          </w:p>
        </w:tc>
        <w:tc>
          <w:tcPr>
            <w:tcW w:w="1643" w:type="dxa"/>
            <w:vAlign w:val="center"/>
          </w:tcPr>
          <w:p>
            <w:pPr>
              <w:pStyle w:val="8"/>
            </w:pPr>
          </w:p>
        </w:tc>
        <w:tc>
          <w:tcPr>
            <w:tcW w:w="1643" w:type="dxa"/>
            <w:vAlign w:val="center"/>
          </w:tcPr>
          <w:p>
            <w:pPr>
              <w:pStyle w:val="8"/>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25</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25.00</w:t>
            </w:r>
          </w:p>
        </w:tc>
        <w:tc>
          <w:tcPr>
            <w:tcW w:w="1643" w:type="dxa"/>
            <w:vAlign w:val="center"/>
          </w:tcPr>
          <w:p>
            <w:pPr>
              <w:pStyle w:val="8"/>
            </w:pPr>
          </w:p>
        </w:tc>
        <w:tc>
          <w:tcPr>
            <w:tcW w:w="1643" w:type="dxa"/>
            <w:vAlign w:val="center"/>
          </w:tcPr>
          <w:p>
            <w:pPr>
              <w:pStyle w:val="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26</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8"/>
            </w:pPr>
            <w:r>
              <w:t>28.72</w:t>
            </w:r>
          </w:p>
        </w:tc>
        <w:tc>
          <w:tcPr>
            <w:tcW w:w="1643" w:type="dxa"/>
            <w:vAlign w:val="center"/>
          </w:tcPr>
          <w:p>
            <w:pPr>
              <w:pStyle w:val="8"/>
            </w:pPr>
          </w:p>
        </w:tc>
        <w:tc>
          <w:tcPr>
            <w:tcW w:w="1643" w:type="dxa"/>
            <w:vAlign w:val="center"/>
          </w:tcPr>
          <w:p>
            <w:pPr>
              <w:pStyle w:val="8"/>
            </w:pPr>
            <w:r>
              <w:t>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27</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8"/>
            </w:pPr>
            <w:r>
              <w:t>199.75</w:t>
            </w:r>
          </w:p>
        </w:tc>
        <w:tc>
          <w:tcPr>
            <w:tcW w:w="1643" w:type="dxa"/>
            <w:vAlign w:val="center"/>
          </w:tcPr>
          <w:p>
            <w:pPr>
              <w:pStyle w:val="8"/>
            </w:pPr>
            <w:r>
              <w:t>199.75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28</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8"/>
            </w:pPr>
            <w:r>
              <w:t>87.15</w:t>
            </w:r>
          </w:p>
        </w:tc>
        <w:tc>
          <w:tcPr>
            <w:tcW w:w="1643" w:type="dxa"/>
            <w:vAlign w:val="center"/>
          </w:tcPr>
          <w:p>
            <w:pPr>
              <w:pStyle w:val="8"/>
            </w:pPr>
            <w:r>
              <w:t>87.15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29</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8"/>
            </w:pPr>
            <w:r>
              <w:t>1.68</w:t>
            </w:r>
          </w:p>
        </w:tc>
        <w:tc>
          <w:tcPr>
            <w:tcW w:w="1643" w:type="dxa"/>
            <w:vAlign w:val="center"/>
          </w:tcPr>
          <w:p>
            <w:pPr>
              <w:pStyle w:val="8"/>
            </w:pPr>
            <w:r>
              <w:t>1.68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30</w:t>
            </w:r>
          </w:p>
        </w:tc>
        <w:tc>
          <w:tcPr>
            <w:tcW w:w="1643" w:type="dxa"/>
            <w:vAlign w:val="center"/>
          </w:tcPr>
          <w:p>
            <w:pPr>
              <w:pStyle w:val="9"/>
            </w:pPr>
            <w:r>
              <w:t>30399</w:t>
            </w:r>
          </w:p>
        </w:tc>
        <w:tc>
          <w:tcPr>
            <w:tcW w:w="1643" w:type="dxa"/>
            <w:vAlign w:val="center"/>
          </w:tcPr>
          <w:p>
            <w:pPr>
              <w:pStyle w:val="9"/>
            </w:pPr>
            <w:r>
              <w:t>其他对个人和家庭的补助</w:t>
            </w:r>
          </w:p>
        </w:tc>
        <w:tc>
          <w:tcPr>
            <w:tcW w:w="1643" w:type="dxa"/>
            <w:vAlign w:val="center"/>
          </w:tcPr>
          <w:p>
            <w:pPr>
              <w:pStyle w:val="8"/>
            </w:pPr>
            <w:r>
              <w:t>110.92</w:t>
            </w:r>
          </w:p>
        </w:tc>
        <w:tc>
          <w:tcPr>
            <w:tcW w:w="1643" w:type="dxa"/>
            <w:vAlign w:val="center"/>
          </w:tcPr>
          <w:p>
            <w:pPr>
              <w:pStyle w:val="8"/>
            </w:pPr>
            <w:r>
              <w:t>110.92</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249017宁晋县人民检察院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合计</w:t>
            </w:r>
          </w:p>
        </w:tc>
        <w:tc>
          <w:tcPr>
            <w:tcW w:w="1643" w:type="dxa"/>
            <w:vAlign w:val="center"/>
          </w:tcPr>
          <w:p>
            <w:pPr>
              <w:pStyle w:val="12"/>
            </w:pPr>
            <w:r>
              <w:t>25.49</w:t>
            </w:r>
          </w:p>
        </w:tc>
        <w:tc>
          <w:tcPr>
            <w:tcW w:w="1643" w:type="dxa"/>
            <w:vAlign w:val="center"/>
          </w:tcPr>
          <w:p>
            <w:pPr>
              <w:pStyle w:val="12"/>
            </w:pPr>
            <w:r>
              <w:t>25.49</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“三公”经费小计</w:t>
            </w:r>
          </w:p>
        </w:tc>
        <w:tc>
          <w:tcPr>
            <w:tcW w:w="1643" w:type="dxa"/>
            <w:vAlign w:val="center"/>
          </w:tcPr>
          <w:p>
            <w:pPr>
              <w:pStyle w:val="8"/>
            </w:pPr>
            <w:r>
              <w:t>25.49</w:t>
            </w:r>
          </w:p>
        </w:tc>
        <w:tc>
          <w:tcPr>
            <w:tcW w:w="1643" w:type="dxa"/>
            <w:vAlign w:val="center"/>
          </w:tcPr>
          <w:p>
            <w:pPr>
              <w:pStyle w:val="8"/>
            </w:pPr>
            <w:r>
              <w:t>25.49</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二、公务用车购置及运维费</w:t>
            </w:r>
          </w:p>
        </w:tc>
        <w:tc>
          <w:tcPr>
            <w:tcW w:w="1643" w:type="dxa"/>
            <w:vAlign w:val="center"/>
          </w:tcPr>
          <w:p>
            <w:pPr>
              <w:pStyle w:val="8"/>
            </w:pPr>
            <w:r>
              <w:t>25.00</w:t>
            </w:r>
          </w:p>
        </w:tc>
        <w:tc>
          <w:tcPr>
            <w:tcW w:w="1643" w:type="dxa"/>
            <w:vAlign w:val="center"/>
          </w:tcPr>
          <w:p>
            <w:pPr>
              <w:pStyle w:val="8"/>
            </w:pPr>
            <w:r>
              <w:t>25.00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 xml:space="preserve">          公务用车运行维护费</w:t>
            </w:r>
          </w:p>
        </w:tc>
        <w:tc>
          <w:tcPr>
            <w:tcW w:w="1643" w:type="dxa"/>
            <w:vAlign w:val="center"/>
          </w:tcPr>
          <w:p>
            <w:pPr>
              <w:pStyle w:val="8"/>
            </w:pPr>
            <w:r>
              <w:t>25.00</w:t>
            </w:r>
          </w:p>
        </w:tc>
        <w:tc>
          <w:tcPr>
            <w:tcW w:w="1643" w:type="dxa"/>
            <w:vAlign w:val="center"/>
          </w:tcPr>
          <w:p>
            <w:pPr>
              <w:pStyle w:val="8"/>
            </w:pPr>
            <w:r>
              <w:t>25.00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9</w:t>
            </w:r>
          </w:p>
        </w:tc>
        <w:tc>
          <w:tcPr>
            <w:tcW w:w="1643" w:type="dxa"/>
            <w:vAlign w:val="center"/>
          </w:tcPr>
          <w:p>
            <w:pPr>
              <w:pStyle w:val="9"/>
            </w:pPr>
            <w:r>
              <w:t>三、公务接待费</w:t>
            </w:r>
          </w:p>
        </w:tc>
        <w:tc>
          <w:tcPr>
            <w:tcW w:w="1643" w:type="dxa"/>
            <w:vAlign w:val="center"/>
          </w:tcPr>
          <w:p>
            <w:pPr>
              <w:pStyle w:val="8"/>
            </w:pPr>
            <w:r>
              <w:t>0.49</w:t>
            </w:r>
          </w:p>
        </w:tc>
        <w:tc>
          <w:tcPr>
            <w:tcW w:w="1643" w:type="dxa"/>
            <w:vAlign w:val="center"/>
          </w:tcPr>
          <w:p>
            <w:pPr>
              <w:pStyle w:val="8"/>
            </w:pPr>
            <w:r>
              <w:t>0.49</w:t>
            </w:r>
          </w:p>
        </w:tc>
        <w:tc>
          <w:tcPr>
            <w:tcW w:w="1643" w:type="dxa"/>
            <w:vAlign w:val="center"/>
          </w:tcPr>
          <w:p>
            <w:pPr>
              <w:pStyle w:val="8"/>
            </w:pPr>
          </w:p>
        </w:tc>
        <w:tc>
          <w:tcPr>
            <w:tcW w:w="1643" w:type="dxa"/>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b w:val="0"/>
          <w:color w:val="000000"/>
          <w:sz w:val="44"/>
        </w:rPr>
        <w:t>宁晋县人民检察院2023年单位预算信息公开情况说明</w:t>
      </w:r>
    </w:p>
    <w:p>
      <w:pPr>
        <w:spacing w:before="0" w:after="0" w:line="500" w:lineRule="exact"/>
        <w:ind w:firstLine="560"/>
        <w:jc w:val="left"/>
        <w:outlineLvl w:val="9"/>
      </w:pPr>
      <w:r>
        <w:rPr>
          <w:b w:val="0"/>
          <w:color w:val="000000"/>
          <w:sz w:val="28"/>
        </w:rPr>
        <w:t>按照《预算法》、《地方预决算公开操作规程》和《关于进一步推进预算公开工作的实施意见》规定，现将宁晋县人民检察院2023年单位预算公开如下：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2"/>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2"/>
      </w:pPr>
      <w:r>
        <w:t>(二)依法向县人民代表大会及其常务委员会提出议案。</w:t>
      </w:r>
    </w:p>
    <w:p>
      <w:pPr>
        <w:pStyle w:val="22"/>
      </w:pPr>
      <w:r>
        <w:t>(三)贯彻落实检察工作方针、总体规划，研究制定检察工作计划并组织实施。</w:t>
      </w:r>
    </w:p>
    <w:p>
      <w:pPr>
        <w:pStyle w:val="22"/>
      </w:pPr>
      <w:r>
        <w:t>(四)依照法律规定对直接受理的刑事案件行使侦查权。</w:t>
      </w:r>
    </w:p>
    <w:p>
      <w:pPr>
        <w:pStyle w:val="22"/>
      </w:pPr>
      <w:r>
        <w:t>(五)负责对管辖的各类刑事案件依法审查批准逮捕、决定逮捕、提起公诉。</w:t>
      </w:r>
    </w:p>
    <w:p>
      <w:pPr>
        <w:pStyle w:val="22"/>
      </w:pPr>
      <w:r>
        <w:t>(六)负责应由本院承办的刑事、民事、行政诉讼活动及刑事、民事、行政判决和裁定等生效法律文书执行的法律监督工作。</w:t>
      </w:r>
    </w:p>
    <w:p>
      <w:pPr>
        <w:pStyle w:val="22"/>
      </w:pPr>
      <w:r>
        <w:t>(七)负责应由本院承办的提起公益诉讼工作。</w:t>
      </w:r>
    </w:p>
    <w:p>
      <w:pPr>
        <w:pStyle w:val="22"/>
      </w:pPr>
      <w:r>
        <w:t>(八)依法受理核准追诉案件，审查是否上报。</w:t>
      </w:r>
    </w:p>
    <w:p>
      <w:pPr>
        <w:pStyle w:val="22"/>
      </w:pPr>
      <w:r>
        <w:t>(九)负责应由本院承办的对看守所、社区矫正等执法活动的法律监督工作。</w:t>
      </w:r>
    </w:p>
    <w:p>
      <w:pPr>
        <w:pStyle w:val="22"/>
      </w:pPr>
      <w:r>
        <w:t>(十)受理向本院的控告申诉。</w:t>
      </w:r>
    </w:p>
    <w:p>
      <w:pPr>
        <w:pStyle w:val="22"/>
      </w:pPr>
      <w:r>
        <w:t>(十一)组织检察工作中法律政策具体应用问题的研究；组织开展检察理论研究工作。</w:t>
      </w:r>
    </w:p>
    <w:p>
      <w:pPr>
        <w:pStyle w:val="22"/>
      </w:pPr>
      <w:r>
        <w:t>(十二)负责检察人员思想政治教育和业务培训工作；按照权限管理检察官和其他工作人员。</w:t>
      </w:r>
    </w:p>
    <w:p>
      <w:pPr>
        <w:pStyle w:val="22"/>
      </w:pPr>
      <w:r>
        <w:t>(十三)负责本院检务督察工作。</w:t>
      </w:r>
    </w:p>
    <w:p>
      <w:pPr>
        <w:pStyle w:val="22"/>
      </w:pPr>
      <w:r>
        <w:t xml:space="preserve">(十四)负责本院检务保障以及检察技术、信息化建设工作。  </w:t>
      </w:r>
    </w:p>
    <w:p>
      <w:pPr>
        <w:pStyle w:val="22"/>
      </w:pPr>
      <w:r>
        <w:t>(十五)完成其他应当由本院负责的工作。</w:t>
      </w:r>
    </w:p>
    <w:p>
      <w:pPr>
        <w:pStyle w:val="22"/>
      </w:pPr>
    </w:p>
    <w:p>
      <w:pPr>
        <w:pStyle w:val="22"/>
      </w:pPr>
      <w:r>
        <w:t>单位名称：宁晋县人民检察院</w:t>
      </w:r>
    </w:p>
    <w:p>
      <w:pPr>
        <w:pStyle w:val="22"/>
      </w:pPr>
      <w:r>
        <w:t>单位性质：行政单位</w:t>
      </w:r>
    </w:p>
    <w:p>
      <w:pPr>
        <w:pStyle w:val="22"/>
      </w:pPr>
      <w:r>
        <w:t>单位规格：副处（县）级</w:t>
      </w:r>
    </w:p>
    <w:p>
      <w:pPr>
        <w:pStyle w:val="22"/>
      </w:pPr>
      <w:r>
        <w:t>经费保障形式：财政拨款</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宁晋县人民检察院</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spacing w:before="0" w:after="0" w:line="500" w:lineRule="exact"/>
        <w:ind w:firstLine="560"/>
        <w:jc w:val="left"/>
        <w:outlineLvl w:val="9"/>
      </w:pPr>
      <w:r>
        <w:rPr>
          <w:b w:val="0"/>
          <w:color w:val="000000"/>
          <w:sz w:val="28"/>
        </w:rPr>
        <w:t>按照预算管理有关规定，目前我省单位预算的编制实行综合预算管理，即全部收入和支出都反映在预算中。</w:t>
      </w:r>
    </w:p>
    <w:p>
      <w:pPr>
        <w:pStyle w:val="23"/>
      </w:pPr>
      <w:r>
        <w:t>按照预算管理有关规定，目前我单位预算的编制实行综合预算管理，即全部收入和支出都反映在预算中。</w:t>
      </w:r>
    </w:p>
    <w:p>
      <w:pPr>
        <w:pStyle w:val="23"/>
      </w:pPr>
      <w:r>
        <w:t>1、收入说明</w:t>
      </w:r>
    </w:p>
    <w:p>
      <w:pPr>
        <w:pStyle w:val="23"/>
      </w:pPr>
      <w:r>
        <w:t>反映本单位当年全部收入。2023年预算收入1567万元，其中：一般公共预算收入1567万元，基金预算收入0万元，国有资本经营预算收入0万元，财政专户核拨收入0万元，单位资金收入0万元，上年结转结余0万元。</w:t>
      </w:r>
    </w:p>
    <w:p>
      <w:pPr>
        <w:pStyle w:val="23"/>
      </w:pPr>
      <w:r>
        <w:t>2、支出说明</w:t>
      </w:r>
      <w:r>
        <w:tab/>
      </w:r>
    </w:p>
    <w:p>
      <w:pPr>
        <w:pStyle w:val="23"/>
      </w:pPr>
      <w:r>
        <w:t>收支预算总表支出栏、基本支出表、项目支出表按经济分类和支出功能分类科目编制，反映宁晋县人民检察院本级年度单位预算中支出预算的总体情况。2023年支出预算1567万元，其中基本支出1021万元，包括人员经费870万元和日常公用经费151万元；项目支出546万元，主要为检察业务及办案经费94万元、检察业务装备经费61万元、综合事务管理经费391万元。</w:t>
      </w:r>
    </w:p>
    <w:p>
      <w:pPr>
        <w:pStyle w:val="23"/>
      </w:pPr>
      <w:r>
        <w:t>3、比上年增减情况</w:t>
      </w:r>
    </w:p>
    <w:p>
      <w:pPr>
        <w:pStyle w:val="23"/>
      </w:pPr>
      <w:r>
        <w:t>2023年预算收支安排1567万元，较2022年预算增加245.22万元，主要为项目支出有所增加。</w:t>
      </w:r>
    </w:p>
    <w:p>
      <w:pPr>
        <w:spacing w:before="10" w:after="10" w:line="240" w:lineRule="auto"/>
        <w:ind w:firstLine="640"/>
        <w:jc w:val="left"/>
        <w:outlineLvl w:val="5"/>
      </w:pPr>
      <w:r>
        <w:rPr>
          <w:color w:val="000000"/>
          <w:sz w:val="32"/>
        </w:rPr>
        <w:t>三、机关运行经费安排情况</w:t>
      </w:r>
    </w:p>
    <w:p>
      <w:pPr>
        <w:pStyle w:val="24"/>
      </w:pPr>
      <w:r>
        <w:t>2023年，我单位运行经费共计安排151万元，主要用于日常维修、办公用房水电费、办公用房取暖费、办公用房物业管理费等日常运行支出。</w:t>
      </w:r>
    </w:p>
    <w:p>
      <w:pPr>
        <w:spacing w:before="10" w:after="10" w:line="240" w:lineRule="auto"/>
        <w:ind w:firstLine="640"/>
        <w:jc w:val="left"/>
        <w:outlineLvl w:val="5"/>
      </w:pPr>
      <w:r>
        <w:rPr>
          <w:color w:val="000000"/>
          <w:sz w:val="32"/>
        </w:rPr>
        <w:t>四、财政拨款“三公”经费预算情况及增减变化原因</w:t>
      </w:r>
    </w:p>
    <w:p>
      <w:pPr>
        <w:pStyle w:val="25"/>
      </w:pPr>
      <w:r>
        <w:t>2023年，我单位财政拨款“三公”经费预算安排25.49万元，其中因公出国（境）费0万元；公务用车购置及运维费25万元（其中：公务用车购置费为0万元，公务用车运维费17万元，执法执勤及特种业务车辆运行费用8万元)；公务接待费0.49万元。与2022年相比增加了执法执勤及特种业务车辆运行费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color w:val="000000"/>
          <w:sz w:val="32"/>
        </w:rPr>
        <w:t>五、预算绩效信息</w:t>
      </w:r>
    </w:p>
    <w:p>
      <w:pPr>
        <w:spacing w:before="0" w:after="0"/>
        <w:ind w:firstLine="560"/>
        <w:jc w:val="left"/>
        <w:outlineLvl w:val="9"/>
      </w:pPr>
      <w:r>
        <w:rPr>
          <w:b/>
          <w:color w:val="000000"/>
          <w:sz w:val="28"/>
        </w:rPr>
        <w:t>1、提前下达2023年省级基层公检法司转移支付资金-办案业务费绩效目标表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1.保障检察院全面、高效履行法律监督职能，提高办案质量和效率</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经费保证能力</w:t>
            </w:r>
          </w:p>
        </w:tc>
        <w:tc>
          <w:tcPr>
            <w:tcW w:w="2466" w:type="dxa"/>
            <w:vAlign w:val="center"/>
          </w:tcPr>
          <w:p>
            <w:pPr>
              <w:pStyle w:val="9"/>
            </w:pPr>
            <w:r>
              <w:t>保证办案工作正常运转的能力</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经费保障数额</w:t>
            </w:r>
          </w:p>
        </w:tc>
        <w:tc>
          <w:tcPr>
            <w:tcW w:w="2466" w:type="dxa"/>
            <w:vAlign w:val="center"/>
          </w:tcPr>
          <w:p>
            <w:pPr>
              <w:pStyle w:val="9"/>
            </w:pPr>
            <w:r>
              <w:t>转移支付经费保障数额</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经费及时支出情况</w:t>
            </w:r>
          </w:p>
        </w:tc>
        <w:tc>
          <w:tcPr>
            <w:tcW w:w="2466" w:type="dxa"/>
            <w:vAlign w:val="center"/>
          </w:tcPr>
          <w:p>
            <w:pPr>
              <w:pStyle w:val="9"/>
            </w:pPr>
            <w:r>
              <w:t>转移支付经费及时、有效支出</w:t>
            </w:r>
          </w:p>
        </w:tc>
        <w:tc>
          <w:tcPr>
            <w:tcW w:w="2466" w:type="dxa"/>
            <w:vAlign w:val="center"/>
          </w:tcPr>
          <w:p>
            <w:pPr>
              <w:pStyle w:val="9"/>
            </w:pPr>
            <w:r>
              <w:t>≥95百分比</w:t>
            </w:r>
          </w:p>
        </w:tc>
        <w:tc>
          <w:tcPr>
            <w:tcW w:w="2466" w:type="dxa"/>
            <w:vAlign w:val="center"/>
          </w:tcPr>
          <w:p>
            <w:pPr>
              <w:pStyle w:val="9"/>
            </w:pPr>
            <w:r>
              <w:t>支出率在100%、95%以上、90%以上、90%以下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资金拨付情况</w:t>
            </w:r>
          </w:p>
        </w:tc>
        <w:tc>
          <w:tcPr>
            <w:tcW w:w="2466" w:type="dxa"/>
            <w:vAlign w:val="center"/>
          </w:tcPr>
          <w:p>
            <w:pPr>
              <w:pStyle w:val="9"/>
            </w:pPr>
            <w:r>
              <w:t>转移支付资金足额拨付单位</w:t>
            </w:r>
          </w:p>
        </w:tc>
        <w:tc>
          <w:tcPr>
            <w:tcW w:w="2466" w:type="dxa"/>
            <w:vAlign w:val="center"/>
          </w:tcPr>
          <w:p>
            <w:pPr>
              <w:pStyle w:val="9"/>
            </w:pPr>
            <w:r>
              <w:t>≥95百分比</w:t>
            </w:r>
          </w:p>
        </w:tc>
        <w:tc>
          <w:tcPr>
            <w:tcW w:w="2466" w:type="dxa"/>
            <w:vAlign w:val="center"/>
          </w:tcPr>
          <w:p>
            <w:pPr>
              <w:pStyle w:val="9"/>
            </w:pPr>
            <w:r>
              <w:t>足额拨付率在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各项综合业务管理工作完成率</w:t>
            </w:r>
          </w:p>
        </w:tc>
        <w:tc>
          <w:tcPr>
            <w:tcW w:w="2466" w:type="dxa"/>
            <w:vAlign w:val="center"/>
          </w:tcPr>
          <w:p>
            <w:pPr>
              <w:pStyle w:val="9"/>
            </w:pPr>
            <w:r>
              <w:t>综合业务工作完成率</w:t>
            </w:r>
          </w:p>
        </w:tc>
        <w:tc>
          <w:tcPr>
            <w:tcW w:w="2466" w:type="dxa"/>
            <w:vAlign w:val="center"/>
          </w:tcPr>
          <w:p>
            <w:pPr>
              <w:pStyle w:val="9"/>
            </w:pPr>
            <w:r>
              <w:t>≥95百分比</w:t>
            </w:r>
          </w:p>
        </w:tc>
        <w:tc>
          <w:tcPr>
            <w:tcW w:w="2466" w:type="dxa"/>
            <w:vAlign w:val="center"/>
          </w:tcPr>
          <w:p>
            <w:pPr>
              <w:pStyle w:val="9"/>
            </w:pPr>
            <w:r>
              <w:t>工作完成率在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提高工作效率</w:t>
            </w:r>
          </w:p>
        </w:tc>
        <w:tc>
          <w:tcPr>
            <w:tcW w:w="2466" w:type="dxa"/>
            <w:vAlign w:val="center"/>
          </w:tcPr>
          <w:p>
            <w:pPr>
              <w:pStyle w:val="9"/>
            </w:pPr>
            <w:r>
              <w:t>确保办案工作正常运转</w:t>
            </w:r>
          </w:p>
        </w:tc>
        <w:tc>
          <w:tcPr>
            <w:tcW w:w="2466" w:type="dxa"/>
            <w:vAlign w:val="center"/>
          </w:tcPr>
          <w:p>
            <w:pPr>
              <w:pStyle w:val="9"/>
            </w:pPr>
            <w:r>
              <w:t>≥95百分比</w:t>
            </w:r>
          </w:p>
        </w:tc>
        <w:tc>
          <w:tcPr>
            <w:tcW w:w="2466" w:type="dxa"/>
            <w:vAlign w:val="center"/>
          </w:tcPr>
          <w:p>
            <w:pPr>
              <w:pStyle w:val="9"/>
            </w:pPr>
            <w:r>
              <w:t>工作效率在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维护稳定</w:t>
            </w:r>
          </w:p>
        </w:tc>
        <w:tc>
          <w:tcPr>
            <w:tcW w:w="2466" w:type="dxa"/>
            <w:vAlign w:val="center"/>
          </w:tcPr>
          <w:p>
            <w:pPr>
              <w:pStyle w:val="9"/>
            </w:pPr>
            <w:r>
              <w:t>改善生活质量维护社会稳定</w:t>
            </w:r>
          </w:p>
        </w:tc>
        <w:tc>
          <w:tcPr>
            <w:tcW w:w="2466" w:type="dxa"/>
            <w:vAlign w:val="center"/>
          </w:tcPr>
          <w:p>
            <w:pPr>
              <w:pStyle w:val="9"/>
            </w:pPr>
            <w:r>
              <w:t>≥95百分比</w:t>
            </w:r>
          </w:p>
        </w:tc>
        <w:tc>
          <w:tcPr>
            <w:tcW w:w="2466" w:type="dxa"/>
            <w:vAlign w:val="center"/>
          </w:tcPr>
          <w:p>
            <w:pPr>
              <w:pStyle w:val="9"/>
            </w:pPr>
            <w:r>
              <w:t>维护稳定情况在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社会影响力</w:t>
            </w:r>
          </w:p>
        </w:tc>
        <w:tc>
          <w:tcPr>
            <w:tcW w:w="2466" w:type="dxa"/>
            <w:vAlign w:val="center"/>
          </w:tcPr>
          <w:p>
            <w:pPr>
              <w:pStyle w:val="9"/>
            </w:pPr>
            <w:r>
              <w:t>单位社会有益影响</w:t>
            </w:r>
          </w:p>
        </w:tc>
        <w:tc>
          <w:tcPr>
            <w:tcW w:w="2466" w:type="dxa"/>
            <w:vAlign w:val="center"/>
          </w:tcPr>
          <w:p>
            <w:pPr>
              <w:pStyle w:val="9"/>
            </w:pPr>
            <w:r>
              <w:t>≥95百分比</w:t>
            </w:r>
          </w:p>
        </w:tc>
        <w:tc>
          <w:tcPr>
            <w:tcW w:w="2466" w:type="dxa"/>
            <w:vAlign w:val="center"/>
          </w:tcPr>
          <w:p>
            <w:pPr>
              <w:pStyle w:val="9"/>
            </w:pPr>
            <w:r>
              <w:t>有益影响率在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单位工作有序进行</w:t>
            </w:r>
          </w:p>
        </w:tc>
        <w:tc>
          <w:tcPr>
            <w:tcW w:w="2466" w:type="dxa"/>
            <w:vAlign w:val="center"/>
          </w:tcPr>
          <w:p>
            <w:pPr>
              <w:pStyle w:val="9"/>
            </w:pPr>
            <w:r>
              <w:t>工作人员满意率</w:t>
            </w:r>
          </w:p>
        </w:tc>
        <w:tc>
          <w:tcPr>
            <w:tcW w:w="2466" w:type="dxa"/>
            <w:vAlign w:val="center"/>
          </w:tcPr>
          <w:p>
            <w:pPr>
              <w:pStyle w:val="9"/>
            </w:pPr>
            <w:r>
              <w:t>≥95百分比</w:t>
            </w:r>
          </w:p>
        </w:tc>
        <w:tc>
          <w:tcPr>
            <w:tcW w:w="2466" w:type="dxa"/>
            <w:vAlign w:val="center"/>
          </w:tcPr>
          <w:p>
            <w:pPr>
              <w:pStyle w:val="9"/>
            </w:pPr>
            <w:r>
              <w:t>满意率在 100%、95%以上、90%以上、90%以下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2、提前下达2023年省级基层公检法司转移支付资金-业务装备费绩效目标表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1.提高装备配备水平，推动智慧强检进程，保障办案正常进行，确保检察机关各项工作顺利开展</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经费保证能力</w:t>
            </w:r>
          </w:p>
        </w:tc>
        <w:tc>
          <w:tcPr>
            <w:tcW w:w="2466" w:type="dxa"/>
            <w:vAlign w:val="center"/>
          </w:tcPr>
          <w:p>
            <w:pPr>
              <w:pStyle w:val="9"/>
            </w:pPr>
            <w:r>
              <w:t>保证办案工作正常运转的能力</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经费保障数额</w:t>
            </w:r>
          </w:p>
        </w:tc>
        <w:tc>
          <w:tcPr>
            <w:tcW w:w="2466" w:type="dxa"/>
            <w:vAlign w:val="center"/>
          </w:tcPr>
          <w:p>
            <w:pPr>
              <w:pStyle w:val="9"/>
            </w:pPr>
            <w:r>
              <w:t>转移支付经费保障数额</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经费及时支出情况</w:t>
            </w:r>
          </w:p>
        </w:tc>
        <w:tc>
          <w:tcPr>
            <w:tcW w:w="2466" w:type="dxa"/>
            <w:vAlign w:val="center"/>
          </w:tcPr>
          <w:p>
            <w:pPr>
              <w:pStyle w:val="9"/>
            </w:pPr>
            <w:r>
              <w:t>转移支付经费及时、有效支出</w:t>
            </w:r>
          </w:p>
        </w:tc>
        <w:tc>
          <w:tcPr>
            <w:tcW w:w="2466" w:type="dxa"/>
            <w:vAlign w:val="center"/>
          </w:tcPr>
          <w:p>
            <w:pPr>
              <w:pStyle w:val="9"/>
            </w:pPr>
            <w:r>
              <w:t>≥95百分比</w:t>
            </w:r>
          </w:p>
        </w:tc>
        <w:tc>
          <w:tcPr>
            <w:tcW w:w="2466" w:type="dxa"/>
            <w:vAlign w:val="center"/>
          </w:tcPr>
          <w:p>
            <w:pPr>
              <w:pStyle w:val="9"/>
            </w:pPr>
            <w:r>
              <w:t>支出率在100%、95%以上、90%以上、90%以下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资金拨付情况</w:t>
            </w:r>
          </w:p>
        </w:tc>
        <w:tc>
          <w:tcPr>
            <w:tcW w:w="2466" w:type="dxa"/>
            <w:vAlign w:val="center"/>
          </w:tcPr>
          <w:p>
            <w:pPr>
              <w:pStyle w:val="9"/>
            </w:pPr>
            <w:r>
              <w:t>转移支付资金足额拨付单位</w:t>
            </w:r>
          </w:p>
        </w:tc>
        <w:tc>
          <w:tcPr>
            <w:tcW w:w="2466" w:type="dxa"/>
            <w:vAlign w:val="center"/>
          </w:tcPr>
          <w:p>
            <w:pPr>
              <w:pStyle w:val="9"/>
            </w:pPr>
            <w:r>
              <w:t>≥95百分比</w:t>
            </w:r>
          </w:p>
        </w:tc>
        <w:tc>
          <w:tcPr>
            <w:tcW w:w="2466" w:type="dxa"/>
            <w:vAlign w:val="center"/>
          </w:tcPr>
          <w:p>
            <w:pPr>
              <w:pStyle w:val="9"/>
            </w:pPr>
            <w:r>
              <w:t>足额拨付率在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各项综合业务管理工作完成率</w:t>
            </w:r>
          </w:p>
        </w:tc>
        <w:tc>
          <w:tcPr>
            <w:tcW w:w="2466" w:type="dxa"/>
            <w:vAlign w:val="center"/>
          </w:tcPr>
          <w:p>
            <w:pPr>
              <w:pStyle w:val="9"/>
            </w:pPr>
            <w:r>
              <w:t>综合业务工作完成率</w:t>
            </w:r>
          </w:p>
        </w:tc>
        <w:tc>
          <w:tcPr>
            <w:tcW w:w="2466" w:type="dxa"/>
            <w:vAlign w:val="center"/>
          </w:tcPr>
          <w:p>
            <w:pPr>
              <w:pStyle w:val="9"/>
            </w:pPr>
            <w:r>
              <w:t>≥95百分比</w:t>
            </w:r>
          </w:p>
        </w:tc>
        <w:tc>
          <w:tcPr>
            <w:tcW w:w="2466" w:type="dxa"/>
            <w:vAlign w:val="center"/>
          </w:tcPr>
          <w:p>
            <w:pPr>
              <w:pStyle w:val="9"/>
            </w:pPr>
            <w:r>
              <w:t>工作完成率在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提高工作效率</w:t>
            </w:r>
          </w:p>
        </w:tc>
        <w:tc>
          <w:tcPr>
            <w:tcW w:w="2466" w:type="dxa"/>
            <w:vAlign w:val="center"/>
          </w:tcPr>
          <w:p>
            <w:pPr>
              <w:pStyle w:val="9"/>
            </w:pPr>
            <w:r>
              <w:t>确保办案工作正常运转</w:t>
            </w:r>
          </w:p>
        </w:tc>
        <w:tc>
          <w:tcPr>
            <w:tcW w:w="2466" w:type="dxa"/>
            <w:vAlign w:val="center"/>
          </w:tcPr>
          <w:p>
            <w:pPr>
              <w:pStyle w:val="9"/>
            </w:pPr>
            <w:r>
              <w:t>≥95百分比</w:t>
            </w:r>
          </w:p>
        </w:tc>
        <w:tc>
          <w:tcPr>
            <w:tcW w:w="2466" w:type="dxa"/>
            <w:vAlign w:val="center"/>
          </w:tcPr>
          <w:p>
            <w:pPr>
              <w:pStyle w:val="9"/>
            </w:pPr>
            <w:r>
              <w:t>工作效率在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维护稳定</w:t>
            </w:r>
          </w:p>
        </w:tc>
        <w:tc>
          <w:tcPr>
            <w:tcW w:w="2466" w:type="dxa"/>
            <w:vAlign w:val="center"/>
          </w:tcPr>
          <w:p>
            <w:pPr>
              <w:pStyle w:val="9"/>
            </w:pPr>
            <w:r>
              <w:t>改善生活质量维护社会稳定</w:t>
            </w:r>
          </w:p>
        </w:tc>
        <w:tc>
          <w:tcPr>
            <w:tcW w:w="2466" w:type="dxa"/>
            <w:vAlign w:val="center"/>
          </w:tcPr>
          <w:p>
            <w:pPr>
              <w:pStyle w:val="9"/>
            </w:pPr>
            <w:r>
              <w:t>≥95百分比</w:t>
            </w:r>
          </w:p>
        </w:tc>
        <w:tc>
          <w:tcPr>
            <w:tcW w:w="2466" w:type="dxa"/>
            <w:vAlign w:val="center"/>
          </w:tcPr>
          <w:p>
            <w:pPr>
              <w:pStyle w:val="9"/>
            </w:pPr>
            <w:r>
              <w:t>维护稳定情况在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社会影响力</w:t>
            </w:r>
          </w:p>
        </w:tc>
        <w:tc>
          <w:tcPr>
            <w:tcW w:w="2466" w:type="dxa"/>
            <w:vAlign w:val="center"/>
          </w:tcPr>
          <w:p>
            <w:pPr>
              <w:pStyle w:val="9"/>
            </w:pPr>
            <w:r>
              <w:t>单位社会有益影响</w:t>
            </w:r>
          </w:p>
        </w:tc>
        <w:tc>
          <w:tcPr>
            <w:tcW w:w="2466" w:type="dxa"/>
            <w:vAlign w:val="center"/>
          </w:tcPr>
          <w:p>
            <w:pPr>
              <w:pStyle w:val="9"/>
            </w:pPr>
            <w:r>
              <w:t>≥95百分比</w:t>
            </w:r>
          </w:p>
        </w:tc>
        <w:tc>
          <w:tcPr>
            <w:tcW w:w="2466" w:type="dxa"/>
            <w:vAlign w:val="center"/>
          </w:tcPr>
          <w:p>
            <w:pPr>
              <w:pStyle w:val="9"/>
            </w:pPr>
            <w:r>
              <w:t>有益影响率在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单位工作有序进行</w:t>
            </w:r>
          </w:p>
        </w:tc>
        <w:tc>
          <w:tcPr>
            <w:tcW w:w="2466" w:type="dxa"/>
            <w:vAlign w:val="center"/>
          </w:tcPr>
          <w:p>
            <w:pPr>
              <w:pStyle w:val="9"/>
            </w:pPr>
            <w:r>
              <w:t>工作人员满意率</w:t>
            </w:r>
          </w:p>
        </w:tc>
        <w:tc>
          <w:tcPr>
            <w:tcW w:w="2466" w:type="dxa"/>
            <w:vAlign w:val="center"/>
          </w:tcPr>
          <w:p>
            <w:pPr>
              <w:pStyle w:val="9"/>
            </w:pPr>
            <w:r>
              <w:t>≥95百分比</w:t>
            </w:r>
          </w:p>
        </w:tc>
        <w:tc>
          <w:tcPr>
            <w:tcW w:w="2466" w:type="dxa"/>
            <w:vAlign w:val="center"/>
          </w:tcPr>
          <w:p>
            <w:pPr>
              <w:pStyle w:val="9"/>
            </w:pPr>
            <w:r>
              <w:t>满意率在 100%、95%以上、90%以上、90%以下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3、提前下达2023年中央政法纪检监察转移支付资金-办案业务费绩效目标表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1.保障检察院全面、高效履行法律监督职能，提高办案质量和效率</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经费保证能力</w:t>
            </w:r>
          </w:p>
        </w:tc>
        <w:tc>
          <w:tcPr>
            <w:tcW w:w="2466" w:type="dxa"/>
            <w:vAlign w:val="center"/>
          </w:tcPr>
          <w:p>
            <w:pPr>
              <w:pStyle w:val="9"/>
            </w:pPr>
            <w:r>
              <w:t>保证办案工作正常运转的能力</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经费保障数额</w:t>
            </w:r>
          </w:p>
        </w:tc>
        <w:tc>
          <w:tcPr>
            <w:tcW w:w="2466" w:type="dxa"/>
            <w:vAlign w:val="center"/>
          </w:tcPr>
          <w:p>
            <w:pPr>
              <w:pStyle w:val="9"/>
            </w:pPr>
            <w:r>
              <w:t>转移支付经费保障数额</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经费及时支出情况</w:t>
            </w:r>
          </w:p>
        </w:tc>
        <w:tc>
          <w:tcPr>
            <w:tcW w:w="2466" w:type="dxa"/>
            <w:vAlign w:val="center"/>
          </w:tcPr>
          <w:p>
            <w:pPr>
              <w:pStyle w:val="9"/>
            </w:pPr>
            <w:r>
              <w:t>转移支付经费及时、有效支出</w:t>
            </w:r>
          </w:p>
        </w:tc>
        <w:tc>
          <w:tcPr>
            <w:tcW w:w="2466" w:type="dxa"/>
            <w:vAlign w:val="center"/>
          </w:tcPr>
          <w:p>
            <w:pPr>
              <w:pStyle w:val="9"/>
            </w:pPr>
            <w:r>
              <w:t>≥95百分比</w:t>
            </w:r>
          </w:p>
        </w:tc>
        <w:tc>
          <w:tcPr>
            <w:tcW w:w="2466" w:type="dxa"/>
            <w:vAlign w:val="center"/>
          </w:tcPr>
          <w:p>
            <w:pPr>
              <w:pStyle w:val="9"/>
            </w:pPr>
            <w:r>
              <w:t>支出率在100%、95%以上、90%以上、90%以下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资金拨付情况</w:t>
            </w:r>
          </w:p>
        </w:tc>
        <w:tc>
          <w:tcPr>
            <w:tcW w:w="2466" w:type="dxa"/>
            <w:vAlign w:val="center"/>
          </w:tcPr>
          <w:p>
            <w:pPr>
              <w:pStyle w:val="9"/>
            </w:pPr>
            <w:r>
              <w:t>转移支付资金足额拨付单位</w:t>
            </w:r>
          </w:p>
        </w:tc>
        <w:tc>
          <w:tcPr>
            <w:tcW w:w="2466" w:type="dxa"/>
            <w:vAlign w:val="center"/>
          </w:tcPr>
          <w:p>
            <w:pPr>
              <w:pStyle w:val="9"/>
            </w:pPr>
            <w:r>
              <w:t>≥95百分比</w:t>
            </w:r>
          </w:p>
        </w:tc>
        <w:tc>
          <w:tcPr>
            <w:tcW w:w="2466" w:type="dxa"/>
            <w:vAlign w:val="center"/>
          </w:tcPr>
          <w:p>
            <w:pPr>
              <w:pStyle w:val="9"/>
            </w:pPr>
            <w:r>
              <w:t>足额拨付率在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各项综合业务管理工作完成率</w:t>
            </w:r>
          </w:p>
        </w:tc>
        <w:tc>
          <w:tcPr>
            <w:tcW w:w="2466" w:type="dxa"/>
            <w:vAlign w:val="center"/>
          </w:tcPr>
          <w:p>
            <w:pPr>
              <w:pStyle w:val="9"/>
            </w:pPr>
            <w:r>
              <w:t>综合业务工作完成率</w:t>
            </w:r>
          </w:p>
        </w:tc>
        <w:tc>
          <w:tcPr>
            <w:tcW w:w="2466" w:type="dxa"/>
            <w:vAlign w:val="center"/>
          </w:tcPr>
          <w:p>
            <w:pPr>
              <w:pStyle w:val="9"/>
            </w:pPr>
            <w:r>
              <w:t>≥95百分比</w:t>
            </w:r>
          </w:p>
        </w:tc>
        <w:tc>
          <w:tcPr>
            <w:tcW w:w="2466" w:type="dxa"/>
            <w:vAlign w:val="center"/>
          </w:tcPr>
          <w:p>
            <w:pPr>
              <w:pStyle w:val="9"/>
            </w:pPr>
            <w:r>
              <w:t>工作完成率在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提高工作效率</w:t>
            </w:r>
          </w:p>
        </w:tc>
        <w:tc>
          <w:tcPr>
            <w:tcW w:w="2466" w:type="dxa"/>
            <w:vAlign w:val="center"/>
          </w:tcPr>
          <w:p>
            <w:pPr>
              <w:pStyle w:val="9"/>
            </w:pPr>
            <w:r>
              <w:t>确保办案工作正常运转</w:t>
            </w:r>
          </w:p>
        </w:tc>
        <w:tc>
          <w:tcPr>
            <w:tcW w:w="2466" w:type="dxa"/>
            <w:vAlign w:val="center"/>
          </w:tcPr>
          <w:p>
            <w:pPr>
              <w:pStyle w:val="9"/>
            </w:pPr>
            <w:r>
              <w:t>≥95百分比</w:t>
            </w:r>
          </w:p>
        </w:tc>
        <w:tc>
          <w:tcPr>
            <w:tcW w:w="2466" w:type="dxa"/>
            <w:vAlign w:val="center"/>
          </w:tcPr>
          <w:p>
            <w:pPr>
              <w:pStyle w:val="9"/>
            </w:pPr>
            <w:r>
              <w:t>工作效率在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维护稳定</w:t>
            </w:r>
          </w:p>
        </w:tc>
        <w:tc>
          <w:tcPr>
            <w:tcW w:w="2466" w:type="dxa"/>
            <w:vAlign w:val="center"/>
          </w:tcPr>
          <w:p>
            <w:pPr>
              <w:pStyle w:val="9"/>
            </w:pPr>
            <w:r>
              <w:t>改善生活质量维护社会稳定</w:t>
            </w:r>
          </w:p>
        </w:tc>
        <w:tc>
          <w:tcPr>
            <w:tcW w:w="2466" w:type="dxa"/>
            <w:vAlign w:val="center"/>
          </w:tcPr>
          <w:p>
            <w:pPr>
              <w:pStyle w:val="9"/>
            </w:pPr>
            <w:r>
              <w:t>≥95百分比</w:t>
            </w:r>
          </w:p>
        </w:tc>
        <w:tc>
          <w:tcPr>
            <w:tcW w:w="2466" w:type="dxa"/>
            <w:vAlign w:val="center"/>
          </w:tcPr>
          <w:p>
            <w:pPr>
              <w:pStyle w:val="9"/>
            </w:pPr>
            <w:r>
              <w:t>维护稳定情况在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社会影响力</w:t>
            </w:r>
          </w:p>
        </w:tc>
        <w:tc>
          <w:tcPr>
            <w:tcW w:w="2466" w:type="dxa"/>
            <w:vAlign w:val="center"/>
          </w:tcPr>
          <w:p>
            <w:pPr>
              <w:pStyle w:val="9"/>
            </w:pPr>
            <w:r>
              <w:t>单位社会有益影响</w:t>
            </w:r>
          </w:p>
        </w:tc>
        <w:tc>
          <w:tcPr>
            <w:tcW w:w="2466" w:type="dxa"/>
            <w:vAlign w:val="center"/>
          </w:tcPr>
          <w:p>
            <w:pPr>
              <w:pStyle w:val="9"/>
            </w:pPr>
            <w:r>
              <w:t>≥95百分比</w:t>
            </w:r>
          </w:p>
        </w:tc>
        <w:tc>
          <w:tcPr>
            <w:tcW w:w="2466" w:type="dxa"/>
            <w:vAlign w:val="center"/>
          </w:tcPr>
          <w:p>
            <w:pPr>
              <w:pStyle w:val="9"/>
            </w:pPr>
            <w:r>
              <w:t>有益影响率在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单位工作有序进行</w:t>
            </w:r>
          </w:p>
        </w:tc>
        <w:tc>
          <w:tcPr>
            <w:tcW w:w="2466" w:type="dxa"/>
            <w:vAlign w:val="center"/>
          </w:tcPr>
          <w:p>
            <w:pPr>
              <w:pStyle w:val="9"/>
            </w:pPr>
            <w:r>
              <w:t>工作人员满意率</w:t>
            </w:r>
          </w:p>
        </w:tc>
        <w:tc>
          <w:tcPr>
            <w:tcW w:w="2466" w:type="dxa"/>
            <w:vAlign w:val="center"/>
          </w:tcPr>
          <w:p>
            <w:pPr>
              <w:pStyle w:val="9"/>
            </w:pPr>
            <w:r>
              <w:t>≥95百分比</w:t>
            </w:r>
          </w:p>
        </w:tc>
        <w:tc>
          <w:tcPr>
            <w:tcW w:w="2466" w:type="dxa"/>
            <w:vAlign w:val="center"/>
          </w:tcPr>
          <w:p>
            <w:pPr>
              <w:pStyle w:val="9"/>
            </w:pPr>
            <w:r>
              <w:t>满意率在 100%、95%以上、90%以上、90%以下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4、提前下达2023年中央政法纪检监察转移支付资金-业务装备费绩效目标表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1.提高装备配备水平，推动智慧强检进程，保障办案正常进行，确保检察机关各项工作顺利开展</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经费保证能力</w:t>
            </w:r>
          </w:p>
        </w:tc>
        <w:tc>
          <w:tcPr>
            <w:tcW w:w="2466" w:type="dxa"/>
            <w:vAlign w:val="center"/>
          </w:tcPr>
          <w:p>
            <w:pPr>
              <w:pStyle w:val="9"/>
            </w:pPr>
            <w:r>
              <w:t>保证办案工作正常运转的能力</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经费保障数额</w:t>
            </w:r>
          </w:p>
        </w:tc>
        <w:tc>
          <w:tcPr>
            <w:tcW w:w="2466" w:type="dxa"/>
            <w:vAlign w:val="center"/>
          </w:tcPr>
          <w:p>
            <w:pPr>
              <w:pStyle w:val="9"/>
            </w:pPr>
            <w:r>
              <w:t>转移支付经费保障数额</w:t>
            </w:r>
          </w:p>
        </w:tc>
        <w:tc>
          <w:tcPr>
            <w:tcW w:w="2466" w:type="dxa"/>
            <w:vAlign w:val="center"/>
          </w:tcPr>
          <w:p>
            <w:pPr>
              <w:pStyle w:val="9"/>
            </w:pPr>
            <w:r>
              <w:t>≥95百分比</w:t>
            </w:r>
          </w:p>
        </w:tc>
        <w:tc>
          <w:tcPr>
            <w:tcW w:w="2466" w:type="dxa"/>
            <w:vAlign w:val="center"/>
          </w:tcPr>
          <w:p>
            <w:pPr>
              <w:pStyle w:val="9"/>
            </w:pPr>
            <w:r>
              <w:t>保障率在100%、95%以上、90%以上、90%以下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经费及时支出情况</w:t>
            </w:r>
          </w:p>
        </w:tc>
        <w:tc>
          <w:tcPr>
            <w:tcW w:w="2466" w:type="dxa"/>
            <w:vAlign w:val="center"/>
          </w:tcPr>
          <w:p>
            <w:pPr>
              <w:pStyle w:val="9"/>
            </w:pPr>
            <w:r>
              <w:t>转移支付经费及时、有效支出</w:t>
            </w:r>
          </w:p>
        </w:tc>
        <w:tc>
          <w:tcPr>
            <w:tcW w:w="2466" w:type="dxa"/>
            <w:vAlign w:val="center"/>
          </w:tcPr>
          <w:p>
            <w:pPr>
              <w:pStyle w:val="9"/>
            </w:pPr>
            <w:r>
              <w:t>≥95百分比</w:t>
            </w:r>
          </w:p>
        </w:tc>
        <w:tc>
          <w:tcPr>
            <w:tcW w:w="2466" w:type="dxa"/>
            <w:vAlign w:val="center"/>
          </w:tcPr>
          <w:p>
            <w:pPr>
              <w:pStyle w:val="9"/>
            </w:pPr>
            <w:r>
              <w:t>支出率在100%、95%以上、90%以上、90%以下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资金拨付情况</w:t>
            </w:r>
          </w:p>
        </w:tc>
        <w:tc>
          <w:tcPr>
            <w:tcW w:w="2466" w:type="dxa"/>
            <w:vAlign w:val="center"/>
          </w:tcPr>
          <w:p>
            <w:pPr>
              <w:pStyle w:val="9"/>
            </w:pPr>
            <w:r>
              <w:t>转移支付资金足额拨付单位</w:t>
            </w:r>
          </w:p>
        </w:tc>
        <w:tc>
          <w:tcPr>
            <w:tcW w:w="2466" w:type="dxa"/>
            <w:vAlign w:val="center"/>
          </w:tcPr>
          <w:p>
            <w:pPr>
              <w:pStyle w:val="9"/>
            </w:pPr>
            <w:r>
              <w:t>≥95百分比</w:t>
            </w:r>
          </w:p>
        </w:tc>
        <w:tc>
          <w:tcPr>
            <w:tcW w:w="2466" w:type="dxa"/>
            <w:vAlign w:val="center"/>
          </w:tcPr>
          <w:p>
            <w:pPr>
              <w:pStyle w:val="9"/>
            </w:pPr>
            <w:r>
              <w:t>足额拨付率在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各项综合业务管理工作完成率</w:t>
            </w:r>
          </w:p>
        </w:tc>
        <w:tc>
          <w:tcPr>
            <w:tcW w:w="2466" w:type="dxa"/>
            <w:vAlign w:val="center"/>
          </w:tcPr>
          <w:p>
            <w:pPr>
              <w:pStyle w:val="9"/>
            </w:pPr>
            <w:r>
              <w:t>综合业务工作完成率</w:t>
            </w:r>
          </w:p>
        </w:tc>
        <w:tc>
          <w:tcPr>
            <w:tcW w:w="2466" w:type="dxa"/>
            <w:vAlign w:val="center"/>
          </w:tcPr>
          <w:p>
            <w:pPr>
              <w:pStyle w:val="9"/>
            </w:pPr>
            <w:r>
              <w:t>≥95百分比</w:t>
            </w:r>
          </w:p>
        </w:tc>
        <w:tc>
          <w:tcPr>
            <w:tcW w:w="2466" w:type="dxa"/>
            <w:vAlign w:val="center"/>
          </w:tcPr>
          <w:p>
            <w:pPr>
              <w:pStyle w:val="9"/>
            </w:pPr>
            <w:r>
              <w:t>工作完成率在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提高工作效率</w:t>
            </w:r>
          </w:p>
        </w:tc>
        <w:tc>
          <w:tcPr>
            <w:tcW w:w="2466" w:type="dxa"/>
            <w:vAlign w:val="center"/>
          </w:tcPr>
          <w:p>
            <w:pPr>
              <w:pStyle w:val="9"/>
            </w:pPr>
            <w:r>
              <w:t>确保办案工作正常运转</w:t>
            </w:r>
          </w:p>
        </w:tc>
        <w:tc>
          <w:tcPr>
            <w:tcW w:w="2466" w:type="dxa"/>
            <w:vAlign w:val="center"/>
          </w:tcPr>
          <w:p>
            <w:pPr>
              <w:pStyle w:val="9"/>
            </w:pPr>
            <w:r>
              <w:t>≥95百分比</w:t>
            </w:r>
          </w:p>
        </w:tc>
        <w:tc>
          <w:tcPr>
            <w:tcW w:w="2466" w:type="dxa"/>
            <w:vAlign w:val="center"/>
          </w:tcPr>
          <w:p>
            <w:pPr>
              <w:pStyle w:val="9"/>
            </w:pPr>
            <w:r>
              <w:t>工作效率在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维护稳定</w:t>
            </w:r>
          </w:p>
        </w:tc>
        <w:tc>
          <w:tcPr>
            <w:tcW w:w="2466" w:type="dxa"/>
            <w:vAlign w:val="center"/>
          </w:tcPr>
          <w:p>
            <w:pPr>
              <w:pStyle w:val="9"/>
            </w:pPr>
            <w:r>
              <w:t>改善生活质量维护社会稳定</w:t>
            </w:r>
          </w:p>
        </w:tc>
        <w:tc>
          <w:tcPr>
            <w:tcW w:w="2466" w:type="dxa"/>
            <w:vAlign w:val="center"/>
          </w:tcPr>
          <w:p>
            <w:pPr>
              <w:pStyle w:val="9"/>
            </w:pPr>
            <w:r>
              <w:t>≥95百分比</w:t>
            </w:r>
          </w:p>
        </w:tc>
        <w:tc>
          <w:tcPr>
            <w:tcW w:w="2466" w:type="dxa"/>
            <w:vAlign w:val="center"/>
          </w:tcPr>
          <w:p>
            <w:pPr>
              <w:pStyle w:val="9"/>
            </w:pPr>
            <w:r>
              <w:t>维护稳定情况在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社会影响力</w:t>
            </w:r>
          </w:p>
        </w:tc>
        <w:tc>
          <w:tcPr>
            <w:tcW w:w="2466" w:type="dxa"/>
            <w:vAlign w:val="center"/>
          </w:tcPr>
          <w:p>
            <w:pPr>
              <w:pStyle w:val="9"/>
            </w:pPr>
            <w:r>
              <w:t>单位社会有益影响</w:t>
            </w:r>
          </w:p>
        </w:tc>
        <w:tc>
          <w:tcPr>
            <w:tcW w:w="2466" w:type="dxa"/>
            <w:vAlign w:val="center"/>
          </w:tcPr>
          <w:p>
            <w:pPr>
              <w:pStyle w:val="9"/>
            </w:pPr>
            <w:r>
              <w:t>≥95百分比</w:t>
            </w:r>
          </w:p>
        </w:tc>
        <w:tc>
          <w:tcPr>
            <w:tcW w:w="2466" w:type="dxa"/>
            <w:vAlign w:val="center"/>
          </w:tcPr>
          <w:p>
            <w:pPr>
              <w:pStyle w:val="9"/>
            </w:pPr>
            <w:r>
              <w:t>有益影响率在 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单位工作有序进行</w:t>
            </w:r>
          </w:p>
        </w:tc>
        <w:tc>
          <w:tcPr>
            <w:tcW w:w="2466" w:type="dxa"/>
            <w:vAlign w:val="center"/>
          </w:tcPr>
          <w:p>
            <w:pPr>
              <w:pStyle w:val="9"/>
            </w:pPr>
            <w:r>
              <w:t>工作人员满意率</w:t>
            </w:r>
          </w:p>
        </w:tc>
        <w:tc>
          <w:tcPr>
            <w:tcW w:w="2466" w:type="dxa"/>
            <w:vAlign w:val="center"/>
          </w:tcPr>
          <w:p>
            <w:pPr>
              <w:pStyle w:val="9"/>
            </w:pPr>
            <w:r>
              <w:t>≥95百分比</w:t>
            </w:r>
          </w:p>
        </w:tc>
        <w:tc>
          <w:tcPr>
            <w:tcW w:w="2466" w:type="dxa"/>
            <w:vAlign w:val="center"/>
          </w:tcPr>
          <w:p>
            <w:pPr>
              <w:pStyle w:val="9"/>
            </w:pPr>
            <w:r>
              <w:t>满意率在 100%、95%以上、90%以上、90%以下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5、综合事务管理经费绩效目标表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1.保障检察院全面、高效履行法律监督职能，提高办案质量和效率</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经费保证能力</w:t>
            </w:r>
          </w:p>
        </w:tc>
        <w:tc>
          <w:tcPr>
            <w:tcW w:w="2466" w:type="dxa"/>
            <w:vAlign w:val="center"/>
          </w:tcPr>
          <w:p>
            <w:pPr>
              <w:pStyle w:val="9"/>
            </w:pPr>
            <w:r>
              <w:t>保证单位工作正常运转的能力</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经费保障数额</w:t>
            </w:r>
          </w:p>
        </w:tc>
        <w:tc>
          <w:tcPr>
            <w:tcW w:w="2466" w:type="dxa"/>
            <w:vAlign w:val="center"/>
          </w:tcPr>
          <w:p>
            <w:pPr>
              <w:pStyle w:val="9"/>
            </w:pPr>
            <w:r>
              <w:t>经费保障数额</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经费及时支出情况</w:t>
            </w:r>
          </w:p>
        </w:tc>
        <w:tc>
          <w:tcPr>
            <w:tcW w:w="2466" w:type="dxa"/>
            <w:vAlign w:val="center"/>
          </w:tcPr>
          <w:p>
            <w:pPr>
              <w:pStyle w:val="9"/>
            </w:pPr>
            <w:r>
              <w:t>经费及时、有效支出</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资金拨付情况</w:t>
            </w:r>
          </w:p>
        </w:tc>
        <w:tc>
          <w:tcPr>
            <w:tcW w:w="2466" w:type="dxa"/>
            <w:vAlign w:val="center"/>
          </w:tcPr>
          <w:p>
            <w:pPr>
              <w:pStyle w:val="9"/>
            </w:pPr>
            <w:r>
              <w:t>资金足额拨付单位</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各项综合业务管理工作完成率</w:t>
            </w:r>
          </w:p>
        </w:tc>
        <w:tc>
          <w:tcPr>
            <w:tcW w:w="2466" w:type="dxa"/>
            <w:vAlign w:val="center"/>
          </w:tcPr>
          <w:p>
            <w:pPr>
              <w:pStyle w:val="9"/>
            </w:pPr>
            <w:r>
              <w:t>综合业务工作完成率</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提高工作效率</w:t>
            </w:r>
          </w:p>
        </w:tc>
        <w:tc>
          <w:tcPr>
            <w:tcW w:w="2466" w:type="dxa"/>
            <w:vAlign w:val="center"/>
          </w:tcPr>
          <w:p>
            <w:pPr>
              <w:pStyle w:val="9"/>
            </w:pPr>
            <w:r>
              <w:t>确保办案工作正常运转</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维护稳定</w:t>
            </w:r>
          </w:p>
        </w:tc>
        <w:tc>
          <w:tcPr>
            <w:tcW w:w="2466" w:type="dxa"/>
            <w:vAlign w:val="center"/>
          </w:tcPr>
          <w:p>
            <w:pPr>
              <w:pStyle w:val="9"/>
            </w:pPr>
            <w:r>
              <w:t>改善生活质量维护社会稳定</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社会影响力</w:t>
            </w:r>
          </w:p>
        </w:tc>
        <w:tc>
          <w:tcPr>
            <w:tcW w:w="2466" w:type="dxa"/>
            <w:vAlign w:val="center"/>
          </w:tcPr>
          <w:p>
            <w:pPr>
              <w:pStyle w:val="9"/>
            </w:pPr>
            <w:r>
              <w:t>单位社会有益影响</w:t>
            </w:r>
          </w:p>
        </w:tc>
        <w:tc>
          <w:tcPr>
            <w:tcW w:w="2466" w:type="dxa"/>
            <w:vAlign w:val="center"/>
          </w:tcPr>
          <w:p>
            <w:pPr>
              <w:pStyle w:val="9"/>
            </w:pPr>
            <w:r>
              <w:t>≥95百分比</w:t>
            </w:r>
          </w:p>
        </w:tc>
        <w:tc>
          <w:tcPr>
            <w:tcW w:w="2466" w:type="dxa"/>
            <w:vAlign w:val="center"/>
          </w:tcPr>
          <w:p>
            <w:pPr>
              <w:pStyle w:val="9"/>
            </w:pPr>
            <w:r>
              <w:t>100%、95%以上、90%以上、90%以下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单位工作有序进行</w:t>
            </w:r>
          </w:p>
        </w:tc>
        <w:tc>
          <w:tcPr>
            <w:tcW w:w="2466" w:type="dxa"/>
            <w:vAlign w:val="center"/>
          </w:tcPr>
          <w:p>
            <w:pPr>
              <w:pStyle w:val="9"/>
            </w:pPr>
            <w:r>
              <w:t>工作人员满意率</w:t>
            </w:r>
          </w:p>
        </w:tc>
        <w:tc>
          <w:tcPr>
            <w:tcW w:w="2466" w:type="dxa"/>
            <w:vAlign w:val="center"/>
          </w:tcPr>
          <w:p>
            <w:pPr>
              <w:pStyle w:val="9"/>
            </w:pPr>
            <w:r>
              <w:t>≥95百分比</w:t>
            </w:r>
          </w:p>
        </w:tc>
        <w:tc>
          <w:tcPr>
            <w:tcW w:w="2466" w:type="dxa"/>
            <w:vAlign w:val="center"/>
          </w:tcPr>
          <w:p>
            <w:pPr>
              <w:pStyle w:val="9"/>
            </w:pPr>
            <w:r>
              <w:t>100%、95%以上、90%以上、90%以下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2023年，宁晋县人民检察院安排政府采购预算0.00万元。具体内容见下表。</w:t>
      </w:r>
    </w:p>
    <w:p>
      <w:pPr>
        <w:spacing w:before="0" w:after="0" w:line="240" w:lineRule="auto"/>
        <w:ind w:firstLine="0"/>
        <w:jc w:val="center"/>
        <w:outlineLvl w:val="9"/>
      </w:pPr>
      <w:r>
        <w:rPr>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249017宁晋县人民检察院</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宁晋县人民检察院上年末固定资产金额为4914.33万元（详见下表）。本年度拟购置固定资产总额为149.00万元，已按要求列入政府采购预算，详见政府采购预算表。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249017宁晋县人民检察院</w:t>
            </w:r>
          </w:p>
          <w:p>
            <w:pPr>
              <w:pStyle w:val="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4914.33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r>
              <w:t>10030</w:t>
            </w:r>
          </w:p>
        </w:tc>
        <w:tc>
          <w:tcPr>
            <w:tcW w:w="4933" w:type="dxa"/>
            <w:vAlign w:val="center"/>
          </w:tcPr>
          <w:p>
            <w:pPr>
              <w:pStyle w:val="8"/>
            </w:pPr>
            <w:r>
              <w:t>3310.06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r>
              <w:t>788.46</w:t>
            </w: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14</w:t>
            </w:r>
          </w:p>
        </w:tc>
        <w:tc>
          <w:tcPr>
            <w:tcW w:w="4933" w:type="dxa"/>
            <w:vAlign w:val="center"/>
          </w:tcPr>
          <w:p>
            <w:pPr>
              <w:pStyle w:val="8"/>
            </w:pPr>
            <w:r>
              <w:t>180.11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r>
              <w:t>13</w:t>
            </w:r>
          </w:p>
        </w:tc>
        <w:tc>
          <w:tcPr>
            <w:tcW w:w="4933" w:type="dxa"/>
            <w:vAlign w:val="center"/>
          </w:tcPr>
          <w:p>
            <w:pPr>
              <w:pStyle w:val="8"/>
            </w:pPr>
            <w:r>
              <w:t>628.81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p>
        </w:tc>
        <w:tc>
          <w:tcPr>
            <w:tcW w:w="4933" w:type="dxa"/>
            <w:vAlign w:val="center"/>
          </w:tcPr>
          <w:p>
            <w:pPr>
              <w:pStyle w:val="8"/>
            </w:pPr>
            <w:r>
              <w:t>795.35</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wYjc3NGRiOGZhZDU1MGY1YzAyZDI1MzU0YTRiYjYifQ=="/>
  </w:docVars>
  <w:rsids>
    <w:rsidRoot w:val="00000000"/>
    <w:rsid w:val="01C329FC"/>
    <w:rsid w:val="0AE84C91"/>
    <w:rsid w:val="100E3F0E"/>
    <w:rsid w:val="12EA452C"/>
    <w:rsid w:val="145C11DA"/>
    <w:rsid w:val="1A17012C"/>
    <w:rsid w:val="1BC160C4"/>
    <w:rsid w:val="21CE3817"/>
    <w:rsid w:val="22405491"/>
    <w:rsid w:val="26516F11"/>
    <w:rsid w:val="29152C54"/>
    <w:rsid w:val="304D715F"/>
    <w:rsid w:val="31696BE7"/>
    <w:rsid w:val="3A827E69"/>
    <w:rsid w:val="3BB3089E"/>
    <w:rsid w:val="41212971"/>
    <w:rsid w:val="45B85F89"/>
    <w:rsid w:val="4A2C7995"/>
    <w:rsid w:val="4D256993"/>
    <w:rsid w:val="57537FE4"/>
    <w:rsid w:val="61B4226B"/>
    <w:rsid w:val="694025E0"/>
    <w:rsid w:val="6B66123F"/>
    <w:rsid w:val="6C23694D"/>
    <w:rsid w:val="6F2252BE"/>
    <w:rsid w:val="780B563B"/>
    <w:rsid w:val="7D720941"/>
    <w:rsid w:val="7DD311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1"/>
    <w:basedOn w:val="1"/>
    <w:qFormat/>
    <w:uiPriority w:val="0"/>
    <w:pPr>
      <w:spacing w:before="0" w:after="0"/>
      <w:ind w:firstLine="0"/>
      <w:jc w:val="center"/>
      <w:outlineLvl w:val="9"/>
    </w:pPr>
    <w:rPr>
      <w:b/>
      <w:sz w:val="21"/>
    </w:rPr>
  </w:style>
  <w:style w:type="paragraph" w:customStyle="1" w:styleId="8">
    <w:name w:val="单元格样式4"/>
    <w:basedOn w:val="1"/>
    <w:qFormat/>
    <w:uiPriority w:val="0"/>
    <w:pPr>
      <w:spacing w:before="0" w:after="0"/>
      <w:ind w:firstLine="0"/>
      <w:jc w:val="right"/>
      <w:outlineLvl w:val="9"/>
    </w:pPr>
    <w:rPr>
      <w:sz w:val="21"/>
    </w:rPr>
  </w:style>
  <w:style w:type="paragraph" w:customStyle="1" w:styleId="9">
    <w:name w:val="单元格样式2"/>
    <w:basedOn w:val="1"/>
    <w:qFormat/>
    <w:uiPriority w:val="0"/>
    <w:pPr>
      <w:spacing w:before="0" w:after="0"/>
      <w:ind w:firstLine="0"/>
      <w:jc w:val="left"/>
      <w:outlineLvl w:val="9"/>
    </w:pPr>
    <w:rPr>
      <w:sz w:val="21"/>
    </w:rPr>
  </w:style>
  <w:style w:type="paragraph" w:customStyle="1" w:styleId="10">
    <w:name w:val="单元格样式3"/>
    <w:basedOn w:val="1"/>
    <w:qFormat/>
    <w:uiPriority w:val="0"/>
    <w:pPr>
      <w:spacing w:before="0" w:after="0"/>
      <w:ind w:firstLine="0"/>
      <w:jc w:val="center"/>
      <w:outlineLvl w:val="9"/>
    </w:pPr>
    <w:rPr>
      <w:sz w:val="21"/>
    </w:rPr>
  </w:style>
  <w:style w:type="paragraph" w:customStyle="1" w:styleId="11">
    <w:name w:val="单元格样式6"/>
    <w:basedOn w:val="1"/>
    <w:qFormat/>
    <w:uiPriority w:val="0"/>
    <w:pPr>
      <w:spacing w:before="0" w:after="0"/>
      <w:ind w:firstLine="0"/>
      <w:jc w:val="center"/>
      <w:outlineLvl w:val="9"/>
    </w:pPr>
    <w:rPr>
      <w:b/>
      <w:sz w:val="21"/>
    </w:rPr>
  </w:style>
  <w:style w:type="paragraph" w:customStyle="1" w:styleId="12">
    <w:name w:val="单元格样式7"/>
    <w:basedOn w:val="1"/>
    <w:qFormat/>
    <w:uiPriority w:val="0"/>
    <w:pPr>
      <w:spacing w:before="0" w:after="0"/>
      <w:ind w:firstLine="0"/>
      <w:jc w:val="right"/>
      <w:outlineLvl w:val="9"/>
    </w:pPr>
    <w:rPr>
      <w:b/>
      <w:sz w:val="21"/>
    </w:rPr>
  </w:style>
  <w:style w:type="paragraph" w:customStyle="1" w:styleId="13">
    <w:name w:val="单元格样式5"/>
    <w:basedOn w:val="1"/>
    <w:qFormat/>
    <w:uiPriority w:val="0"/>
    <w:pPr>
      <w:spacing w:before="0" w:after="0"/>
      <w:ind w:firstLine="0"/>
      <w:jc w:val="left"/>
      <w:outlineLvl w:val="9"/>
    </w:pPr>
    <w:rPr>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1">
    <w:name w:val="单元格样式23"/>
    <w:basedOn w:val="1"/>
    <w:qFormat/>
    <w:uiPriority w:val="0"/>
    <w:pPr>
      <w:spacing w:before="0" w:after="0"/>
      <w:ind w:firstLine="0"/>
      <w:jc w:val="right"/>
      <w:outlineLvl w:val="9"/>
    </w:pPr>
    <w:rPr>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7179</Words>
  <Characters>8846</Characters>
  <Lines>0</Lines>
  <Paragraphs>0</Paragraphs>
  <TotalTime>16</TotalTime>
  <ScaleCrop>false</ScaleCrop>
  <LinksUpToDate>false</LinksUpToDate>
  <CharactersWithSpaces>9095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2023-02-24T17:46:00Z</dcterms:created>
  <dc:creator>Administrator</dc:creator>
  <cp:lastModifiedBy>贾伏谦</cp:lastModifiedBy>
  <dcterms:modified xsi:type="dcterms:W3CDTF">2023-03-06T01:37:37Z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55977811289E4F069752CA98F7B2FD5E</vt:lpwstr>
  </property>
</Properties>
</file>